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171C7" w14:textId="5BD66AFE" w:rsidR="00597E56" w:rsidRPr="00351FBE" w:rsidRDefault="00E92A66" w:rsidP="00351FBE">
      <w:pPr>
        <w:jc w:val="center"/>
        <w:rPr>
          <w:rFonts w:ascii="Arial" w:hAnsi="Arial" w:cs="Arial"/>
          <w:b/>
          <w:bCs/>
          <w:sz w:val="24"/>
          <w:szCs w:val="24"/>
        </w:rPr>
      </w:pPr>
      <w:r w:rsidRPr="00351FBE">
        <w:rPr>
          <w:rFonts w:ascii="Arial" w:hAnsi="Arial" w:cs="Arial"/>
          <w:b/>
          <w:bCs/>
          <w:sz w:val="24"/>
          <w:szCs w:val="24"/>
        </w:rPr>
        <w:t>FELLOWSHIP ADMISSION COURSE</w:t>
      </w:r>
    </w:p>
    <w:p w14:paraId="4696A61A" w14:textId="77777777" w:rsidR="00E92A66" w:rsidRPr="00351FBE" w:rsidRDefault="00E92A66" w:rsidP="00351FBE">
      <w:pPr>
        <w:jc w:val="center"/>
        <w:rPr>
          <w:rFonts w:ascii="Arial" w:hAnsi="Arial" w:cs="Arial"/>
          <w:b/>
          <w:bCs/>
          <w:sz w:val="24"/>
          <w:szCs w:val="24"/>
        </w:rPr>
      </w:pPr>
      <w:r w:rsidRPr="00351FBE">
        <w:rPr>
          <w:rFonts w:ascii="Arial" w:hAnsi="Arial" w:cs="Arial"/>
          <w:b/>
          <w:bCs/>
          <w:sz w:val="24"/>
          <w:szCs w:val="24"/>
        </w:rPr>
        <w:t>2020</w:t>
      </w:r>
    </w:p>
    <w:p w14:paraId="1C6EFFE0" w14:textId="4A1FFAA4" w:rsidR="00E92A66" w:rsidRDefault="00E92A66" w:rsidP="00351FBE">
      <w:pPr>
        <w:jc w:val="center"/>
        <w:rPr>
          <w:rFonts w:ascii="Arial" w:hAnsi="Arial" w:cs="Arial"/>
          <w:b/>
          <w:bCs/>
          <w:sz w:val="24"/>
          <w:szCs w:val="24"/>
        </w:rPr>
      </w:pPr>
      <w:r w:rsidRPr="00351FBE">
        <w:rPr>
          <w:rFonts w:ascii="Arial" w:hAnsi="Arial" w:cs="Arial"/>
          <w:b/>
          <w:bCs/>
          <w:sz w:val="24"/>
          <w:szCs w:val="24"/>
        </w:rPr>
        <w:t>ASSIGNMENT M4-B/3</w:t>
      </w:r>
    </w:p>
    <w:p w14:paraId="47DF44E3" w14:textId="469524FB" w:rsidR="00E816B3" w:rsidRPr="00351FBE" w:rsidRDefault="00E816B3" w:rsidP="00351FBE">
      <w:pPr>
        <w:jc w:val="center"/>
        <w:rPr>
          <w:rFonts w:ascii="Arial" w:hAnsi="Arial" w:cs="Arial"/>
          <w:b/>
          <w:bCs/>
          <w:sz w:val="24"/>
          <w:szCs w:val="24"/>
        </w:rPr>
      </w:pPr>
      <w:r>
        <w:rPr>
          <w:rFonts w:ascii="Arial" w:hAnsi="Arial" w:cs="Arial"/>
          <w:b/>
          <w:bCs/>
          <w:sz w:val="24"/>
          <w:szCs w:val="24"/>
        </w:rPr>
        <w:t>STUDENT NO. 2150</w:t>
      </w:r>
    </w:p>
    <w:p w14:paraId="695AF257" w14:textId="77777777" w:rsidR="00E92A66" w:rsidRPr="00351FBE" w:rsidRDefault="00E92A66" w:rsidP="00351FBE">
      <w:pPr>
        <w:jc w:val="center"/>
        <w:rPr>
          <w:rFonts w:ascii="Arial" w:hAnsi="Arial" w:cs="Arial"/>
          <w:b/>
          <w:bCs/>
          <w:sz w:val="24"/>
          <w:szCs w:val="24"/>
        </w:rPr>
      </w:pPr>
      <w:r w:rsidRPr="00351FBE">
        <w:rPr>
          <w:rFonts w:ascii="Arial" w:hAnsi="Arial" w:cs="Arial"/>
          <w:b/>
          <w:bCs/>
          <w:sz w:val="24"/>
          <w:szCs w:val="24"/>
        </w:rPr>
        <w:t>INTERNATIONAL COMMERCIAL ARBITRATION/ COSTS AWADS</w:t>
      </w:r>
    </w:p>
    <w:p w14:paraId="610FD5C3" w14:textId="77777777" w:rsidR="00E92A66" w:rsidRPr="00351FBE" w:rsidRDefault="00E92A66" w:rsidP="00351FBE">
      <w:pPr>
        <w:jc w:val="center"/>
        <w:rPr>
          <w:rFonts w:ascii="Arial" w:hAnsi="Arial" w:cs="Arial"/>
          <w:b/>
          <w:bCs/>
          <w:sz w:val="24"/>
          <w:szCs w:val="24"/>
        </w:rPr>
      </w:pPr>
      <w:r w:rsidRPr="00351FBE">
        <w:rPr>
          <w:rFonts w:ascii="Arial" w:hAnsi="Arial" w:cs="Arial"/>
          <w:b/>
          <w:bCs/>
          <w:sz w:val="24"/>
          <w:szCs w:val="24"/>
        </w:rPr>
        <w:t>DUE DATE 23 SEPTEMBER 2020</w:t>
      </w:r>
    </w:p>
    <w:p w14:paraId="378871BB" w14:textId="77777777" w:rsidR="00E92A66" w:rsidRPr="00351FBE" w:rsidRDefault="00E92A66">
      <w:pPr>
        <w:rPr>
          <w:rFonts w:ascii="Arial" w:hAnsi="Arial" w:cs="Arial"/>
          <w:b/>
          <w:bCs/>
          <w:sz w:val="24"/>
          <w:szCs w:val="24"/>
        </w:rPr>
      </w:pPr>
    </w:p>
    <w:p w14:paraId="087FEF40" w14:textId="77777777" w:rsidR="00E92A66" w:rsidRPr="00351FBE" w:rsidRDefault="00E92A66">
      <w:pPr>
        <w:rPr>
          <w:rFonts w:ascii="Arial" w:hAnsi="Arial" w:cs="Arial"/>
          <w:b/>
          <w:bCs/>
          <w:sz w:val="24"/>
          <w:szCs w:val="24"/>
        </w:rPr>
      </w:pPr>
    </w:p>
    <w:p w14:paraId="2F0A1556" w14:textId="77777777" w:rsidR="00E92A66" w:rsidRPr="00351FBE" w:rsidRDefault="00E92A66">
      <w:pPr>
        <w:rPr>
          <w:rFonts w:ascii="Arial" w:hAnsi="Arial" w:cs="Arial"/>
          <w:b/>
          <w:bCs/>
          <w:sz w:val="24"/>
          <w:szCs w:val="24"/>
        </w:rPr>
      </w:pPr>
    </w:p>
    <w:p w14:paraId="30E148BA" w14:textId="77777777" w:rsidR="00E92A66" w:rsidRPr="00351FBE" w:rsidRDefault="00E92A66">
      <w:pPr>
        <w:rPr>
          <w:rFonts w:ascii="Arial" w:hAnsi="Arial" w:cs="Arial"/>
          <w:b/>
          <w:bCs/>
          <w:sz w:val="24"/>
          <w:szCs w:val="24"/>
        </w:rPr>
      </w:pPr>
    </w:p>
    <w:p w14:paraId="4DAFE228" w14:textId="77777777" w:rsidR="00E92A66" w:rsidRPr="00351FBE" w:rsidRDefault="00E92A66">
      <w:pPr>
        <w:rPr>
          <w:rFonts w:ascii="Arial" w:hAnsi="Arial" w:cs="Arial"/>
          <w:b/>
          <w:bCs/>
          <w:sz w:val="24"/>
          <w:szCs w:val="24"/>
        </w:rPr>
      </w:pPr>
    </w:p>
    <w:p w14:paraId="6F840985" w14:textId="77777777" w:rsidR="00E92A66" w:rsidRPr="00351FBE" w:rsidRDefault="00E92A66">
      <w:pPr>
        <w:rPr>
          <w:rFonts w:ascii="Arial" w:hAnsi="Arial" w:cs="Arial"/>
          <w:b/>
          <w:bCs/>
          <w:sz w:val="24"/>
          <w:szCs w:val="24"/>
        </w:rPr>
      </w:pPr>
    </w:p>
    <w:p w14:paraId="376E3039" w14:textId="77777777" w:rsidR="00E92A66" w:rsidRPr="00351FBE" w:rsidRDefault="00E92A66">
      <w:pPr>
        <w:rPr>
          <w:rFonts w:ascii="Arial" w:hAnsi="Arial" w:cs="Arial"/>
          <w:b/>
          <w:bCs/>
          <w:sz w:val="24"/>
          <w:szCs w:val="24"/>
        </w:rPr>
      </w:pPr>
    </w:p>
    <w:p w14:paraId="193CCCC2" w14:textId="77777777" w:rsidR="00E92A66" w:rsidRPr="00351FBE" w:rsidRDefault="00E92A66">
      <w:pPr>
        <w:rPr>
          <w:rFonts w:ascii="Arial" w:hAnsi="Arial" w:cs="Arial"/>
          <w:b/>
          <w:bCs/>
          <w:sz w:val="24"/>
          <w:szCs w:val="24"/>
        </w:rPr>
      </w:pPr>
    </w:p>
    <w:p w14:paraId="4C87DDFB" w14:textId="77777777" w:rsidR="00E92A66" w:rsidRPr="00351FBE" w:rsidRDefault="00E92A66">
      <w:pPr>
        <w:rPr>
          <w:rFonts w:ascii="Arial" w:hAnsi="Arial" w:cs="Arial"/>
          <w:b/>
          <w:bCs/>
          <w:sz w:val="24"/>
          <w:szCs w:val="24"/>
        </w:rPr>
      </w:pPr>
    </w:p>
    <w:p w14:paraId="135BC62B" w14:textId="77777777" w:rsidR="00E92A66" w:rsidRPr="00351FBE" w:rsidRDefault="00E92A66">
      <w:pPr>
        <w:rPr>
          <w:rFonts w:ascii="Arial" w:hAnsi="Arial" w:cs="Arial"/>
          <w:b/>
          <w:bCs/>
          <w:sz w:val="24"/>
          <w:szCs w:val="24"/>
        </w:rPr>
      </w:pPr>
    </w:p>
    <w:p w14:paraId="42CE2D3F" w14:textId="77777777" w:rsidR="00E92A66" w:rsidRPr="00351FBE" w:rsidRDefault="00E92A66">
      <w:pPr>
        <w:rPr>
          <w:rFonts w:ascii="Arial" w:hAnsi="Arial" w:cs="Arial"/>
          <w:b/>
          <w:bCs/>
          <w:sz w:val="24"/>
          <w:szCs w:val="24"/>
        </w:rPr>
      </w:pPr>
    </w:p>
    <w:p w14:paraId="7AAAAA9E" w14:textId="77777777" w:rsidR="00E92A66" w:rsidRPr="00351FBE" w:rsidRDefault="00E92A66">
      <w:pPr>
        <w:rPr>
          <w:rFonts w:ascii="Arial" w:hAnsi="Arial" w:cs="Arial"/>
          <w:b/>
          <w:bCs/>
          <w:sz w:val="24"/>
          <w:szCs w:val="24"/>
        </w:rPr>
      </w:pPr>
    </w:p>
    <w:p w14:paraId="00605C59" w14:textId="77777777" w:rsidR="00E92A66" w:rsidRPr="00351FBE" w:rsidRDefault="00E92A66">
      <w:pPr>
        <w:rPr>
          <w:rFonts w:ascii="Arial" w:hAnsi="Arial" w:cs="Arial"/>
          <w:b/>
          <w:bCs/>
          <w:sz w:val="24"/>
          <w:szCs w:val="24"/>
        </w:rPr>
      </w:pPr>
    </w:p>
    <w:p w14:paraId="0BC37A02" w14:textId="77777777" w:rsidR="00E92A66" w:rsidRPr="00351FBE" w:rsidRDefault="00E92A66">
      <w:pPr>
        <w:rPr>
          <w:rFonts w:ascii="Arial" w:hAnsi="Arial" w:cs="Arial"/>
          <w:b/>
          <w:bCs/>
          <w:sz w:val="24"/>
          <w:szCs w:val="24"/>
        </w:rPr>
      </w:pPr>
    </w:p>
    <w:p w14:paraId="652C50A1" w14:textId="77777777" w:rsidR="00E92A66" w:rsidRPr="00351FBE" w:rsidRDefault="00E92A66">
      <w:pPr>
        <w:rPr>
          <w:rFonts w:ascii="Arial" w:hAnsi="Arial" w:cs="Arial"/>
          <w:b/>
          <w:bCs/>
          <w:sz w:val="24"/>
          <w:szCs w:val="24"/>
        </w:rPr>
      </w:pPr>
    </w:p>
    <w:p w14:paraId="701E17A7" w14:textId="77777777" w:rsidR="00E92A66" w:rsidRPr="00351FBE" w:rsidRDefault="00E92A66">
      <w:pPr>
        <w:rPr>
          <w:rFonts w:ascii="Arial" w:hAnsi="Arial" w:cs="Arial"/>
          <w:b/>
          <w:bCs/>
          <w:sz w:val="24"/>
          <w:szCs w:val="24"/>
        </w:rPr>
      </w:pPr>
    </w:p>
    <w:p w14:paraId="4D7E5728" w14:textId="77777777" w:rsidR="00E92A66" w:rsidRPr="00351FBE" w:rsidRDefault="00E92A66">
      <w:pPr>
        <w:rPr>
          <w:rFonts w:ascii="Arial" w:hAnsi="Arial" w:cs="Arial"/>
          <w:b/>
          <w:bCs/>
          <w:sz w:val="24"/>
          <w:szCs w:val="24"/>
        </w:rPr>
      </w:pPr>
    </w:p>
    <w:p w14:paraId="02E26C2E" w14:textId="77777777" w:rsidR="00E92A66" w:rsidRPr="00351FBE" w:rsidRDefault="00E92A66">
      <w:pPr>
        <w:rPr>
          <w:rFonts w:ascii="Arial" w:hAnsi="Arial" w:cs="Arial"/>
          <w:b/>
          <w:bCs/>
          <w:sz w:val="24"/>
          <w:szCs w:val="24"/>
        </w:rPr>
      </w:pPr>
    </w:p>
    <w:p w14:paraId="435CE199" w14:textId="77777777" w:rsidR="00E92A66" w:rsidRPr="00351FBE" w:rsidRDefault="00E92A66">
      <w:pPr>
        <w:rPr>
          <w:rFonts w:ascii="Arial" w:hAnsi="Arial" w:cs="Arial"/>
          <w:b/>
          <w:bCs/>
          <w:sz w:val="24"/>
          <w:szCs w:val="24"/>
        </w:rPr>
      </w:pPr>
    </w:p>
    <w:p w14:paraId="5D478FF6" w14:textId="77777777" w:rsidR="00E92A66" w:rsidRPr="00351FBE" w:rsidRDefault="00E92A66">
      <w:pPr>
        <w:rPr>
          <w:rFonts w:ascii="Arial" w:hAnsi="Arial" w:cs="Arial"/>
          <w:b/>
          <w:bCs/>
          <w:sz w:val="24"/>
          <w:szCs w:val="24"/>
        </w:rPr>
      </w:pPr>
    </w:p>
    <w:p w14:paraId="1D6AB7FF" w14:textId="77777777" w:rsidR="00E92A66" w:rsidRPr="00351FBE" w:rsidRDefault="00E92A66">
      <w:pPr>
        <w:rPr>
          <w:rFonts w:ascii="Arial" w:hAnsi="Arial" w:cs="Arial"/>
          <w:b/>
          <w:bCs/>
          <w:sz w:val="24"/>
          <w:szCs w:val="24"/>
        </w:rPr>
      </w:pPr>
    </w:p>
    <w:p w14:paraId="22216D22" w14:textId="77777777" w:rsidR="00E92A66" w:rsidRPr="00351FBE" w:rsidRDefault="00E92A66">
      <w:pPr>
        <w:rPr>
          <w:rFonts w:ascii="Arial" w:hAnsi="Arial" w:cs="Arial"/>
          <w:b/>
          <w:bCs/>
          <w:sz w:val="24"/>
          <w:szCs w:val="24"/>
        </w:rPr>
      </w:pPr>
    </w:p>
    <w:p w14:paraId="77646D5E" w14:textId="77777777" w:rsidR="00E92A66" w:rsidRPr="00351FBE" w:rsidRDefault="00E92A66">
      <w:pPr>
        <w:rPr>
          <w:rFonts w:ascii="Arial" w:hAnsi="Arial" w:cs="Arial"/>
          <w:b/>
          <w:bCs/>
          <w:sz w:val="24"/>
          <w:szCs w:val="24"/>
        </w:rPr>
      </w:pPr>
    </w:p>
    <w:p w14:paraId="1CA08ADC" w14:textId="77777777" w:rsidR="00E92A66" w:rsidRPr="00351FBE" w:rsidRDefault="00E92A66">
      <w:pPr>
        <w:rPr>
          <w:rFonts w:ascii="Arial" w:hAnsi="Arial" w:cs="Arial"/>
          <w:b/>
          <w:bCs/>
          <w:sz w:val="24"/>
          <w:szCs w:val="24"/>
        </w:rPr>
      </w:pPr>
      <w:bookmarkStart w:id="0" w:name="_Hlk51967475"/>
    </w:p>
    <w:p w14:paraId="55FBD3D7" w14:textId="77777777" w:rsidR="00E92A66" w:rsidRPr="00351FBE" w:rsidRDefault="00E92A66" w:rsidP="002F7310">
      <w:pPr>
        <w:spacing w:line="360" w:lineRule="auto"/>
        <w:jc w:val="both"/>
        <w:rPr>
          <w:rFonts w:ascii="Arial" w:hAnsi="Arial" w:cs="Arial"/>
          <w:b/>
          <w:bCs/>
          <w:sz w:val="24"/>
          <w:szCs w:val="24"/>
          <w:u w:val="single"/>
        </w:rPr>
      </w:pPr>
      <w:r w:rsidRPr="00351FBE">
        <w:rPr>
          <w:rFonts w:ascii="Arial" w:hAnsi="Arial" w:cs="Arial"/>
          <w:b/>
          <w:bCs/>
          <w:sz w:val="24"/>
          <w:szCs w:val="24"/>
          <w:u w:val="single"/>
        </w:rPr>
        <w:lastRenderedPageBreak/>
        <w:t>QUESTION 1</w:t>
      </w:r>
    </w:p>
    <w:p w14:paraId="09BF07FA" w14:textId="1EE8B5A5" w:rsidR="00351FBE" w:rsidRPr="00F42FEC" w:rsidRDefault="009F05C0" w:rsidP="002F7310">
      <w:pPr>
        <w:spacing w:line="360" w:lineRule="auto"/>
        <w:jc w:val="both"/>
        <w:rPr>
          <w:rFonts w:ascii="Arial" w:hAnsi="Arial" w:cs="Arial"/>
          <w:sz w:val="24"/>
          <w:szCs w:val="24"/>
        </w:rPr>
      </w:pPr>
      <w:r w:rsidRPr="00F42FEC">
        <w:rPr>
          <w:rFonts w:ascii="Arial" w:hAnsi="Arial" w:cs="Arial"/>
          <w:sz w:val="24"/>
          <w:szCs w:val="24"/>
        </w:rPr>
        <w:t>There is an enforceable arbitration agreement because:</w:t>
      </w:r>
    </w:p>
    <w:p w14:paraId="608D3E60" w14:textId="7860B27E" w:rsidR="009F05C0" w:rsidRPr="00F42FEC" w:rsidRDefault="000A7C44" w:rsidP="000A7C44">
      <w:pPr>
        <w:pStyle w:val="ListParagraph"/>
        <w:numPr>
          <w:ilvl w:val="0"/>
          <w:numId w:val="4"/>
        </w:numPr>
        <w:spacing w:line="360" w:lineRule="auto"/>
        <w:jc w:val="both"/>
        <w:rPr>
          <w:rFonts w:ascii="Arial" w:hAnsi="Arial" w:cs="Arial"/>
          <w:sz w:val="24"/>
          <w:szCs w:val="24"/>
        </w:rPr>
      </w:pPr>
      <w:r w:rsidRPr="00F42FEC">
        <w:rPr>
          <w:rFonts w:ascii="Arial" w:hAnsi="Arial" w:cs="Arial"/>
          <w:sz w:val="24"/>
          <w:szCs w:val="24"/>
        </w:rPr>
        <w:t>There is a</w:t>
      </w:r>
      <w:r w:rsidR="00F42FEC">
        <w:rPr>
          <w:rFonts w:ascii="Arial" w:hAnsi="Arial" w:cs="Arial"/>
          <w:sz w:val="24"/>
          <w:szCs w:val="24"/>
        </w:rPr>
        <w:t>n existing</w:t>
      </w:r>
      <w:r w:rsidRPr="00F42FEC">
        <w:rPr>
          <w:rFonts w:ascii="Arial" w:hAnsi="Arial" w:cs="Arial"/>
          <w:sz w:val="24"/>
          <w:szCs w:val="24"/>
        </w:rPr>
        <w:t xml:space="preserve"> dispute</w:t>
      </w:r>
    </w:p>
    <w:p w14:paraId="6E016220" w14:textId="7D6371F0" w:rsidR="00B06050" w:rsidRPr="00F42FEC" w:rsidRDefault="000A7C44" w:rsidP="002F7310">
      <w:pPr>
        <w:pStyle w:val="ListParagraph"/>
        <w:numPr>
          <w:ilvl w:val="0"/>
          <w:numId w:val="4"/>
        </w:numPr>
        <w:spacing w:line="360" w:lineRule="auto"/>
        <w:jc w:val="both"/>
        <w:rPr>
          <w:rFonts w:ascii="Arial" w:hAnsi="Arial" w:cs="Arial"/>
          <w:sz w:val="24"/>
          <w:szCs w:val="24"/>
        </w:rPr>
      </w:pPr>
      <w:r w:rsidRPr="00F42FEC">
        <w:rPr>
          <w:rFonts w:ascii="Arial" w:hAnsi="Arial" w:cs="Arial"/>
          <w:sz w:val="24"/>
          <w:szCs w:val="24"/>
        </w:rPr>
        <w:t>The dispute establishes the jurisdiction of the arbitration tribunal</w:t>
      </w:r>
    </w:p>
    <w:p w14:paraId="77BB1A1D" w14:textId="53A25E97" w:rsidR="00B06050" w:rsidRPr="00F42FEC" w:rsidRDefault="00B06050" w:rsidP="00B06050">
      <w:pPr>
        <w:spacing w:line="360" w:lineRule="auto"/>
        <w:jc w:val="both"/>
        <w:rPr>
          <w:rFonts w:ascii="Arial" w:hAnsi="Arial" w:cs="Arial"/>
          <w:sz w:val="24"/>
          <w:szCs w:val="24"/>
        </w:rPr>
      </w:pPr>
      <w:r w:rsidRPr="00F42FEC">
        <w:rPr>
          <w:rFonts w:ascii="Arial" w:hAnsi="Arial" w:cs="Arial"/>
          <w:sz w:val="24"/>
          <w:szCs w:val="24"/>
        </w:rPr>
        <w:t xml:space="preserve">The constitution of the tribunal will be subject to the </w:t>
      </w:r>
      <w:r w:rsidR="00A57E11">
        <w:rPr>
          <w:rFonts w:ascii="Arial" w:hAnsi="Arial" w:cs="Arial"/>
          <w:sz w:val="24"/>
          <w:szCs w:val="24"/>
        </w:rPr>
        <w:t xml:space="preserve">law and </w:t>
      </w:r>
      <w:r w:rsidRPr="00F42FEC">
        <w:rPr>
          <w:rFonts w:ascii="Arial" w:hAnsi="Arial" w:cs="Arial"/>
          <w:sz w:val="24"/>
          <w:szCs w:val="24"/>
        </w:rPr>
        <w:t>rules governing the arbitration</w:t>
      </w:r>
      <w:r w:rsidR="000C5F2A" w:rsidRPr="00F42FEC">
        <w:rPr>
          <w:rFonts w:ascii="Arial" w:hAnsi="Arial" w:cs="Arial"/>
          <w:sz w:val="24"/>
          <w:szCs w:val="24"/>
        </w:rPr>
        <w:t>. As such, the appointment may be</w:t>
      </w:r>
      <w:r w:rsidR="00A57E11">
        <w:rPr>
          <w:rStyle w:val="FootnoteReference"/>
          <w:rFonts w:ascii="Arial" w:hAnsi="Arial" w:cs="Arial"/>
          <w:sz w:val="24"/>
          <w:szCs w:val="24"/>
        </w:rPr>
        <w:footnoteReference w:id="1"/>
      </w:r>
    </w:p>
    <w:p w14:paraId="6B16F09B" w14:textId="08C85CD7" w:rsidR="00B06050" w:rsidRPr="00F42FEC" w:rsidRDefault="000C5F2A" w:rsidP="00B06050">
      <w:pPr>
        <w:pStyle w:val="ListParagraph"/>
        <w:numPr>
          <w:ilvl w:val="0"/>
          <w:numId w:val="5"/>
        </w:numPr>
        <w:spacing w:line="360" w:lineRule="auto"/>
        <w:jc w:val="both"/>
        <w:rPr>
          <w:rFonts w:ascii="Arial" w:hAnsi="Arial" w:cs="Arial"/>
          <w:sz w:val="24"/>
          <w:szCs w:val="24"/>
        </w:rPr>
      </w:pPr>
      <w:r w:rsidRPr="00F42FEC">
        <w:rPr>
          <w:rFonts w:ascii="Arial" w:hAnsi="Arial" w:cs="Arial"/>
          <w:sz w:val="24"/>
          <w:szCs w:val="24"/>
        </w:rPr>
        <w:t xml:space="preserve">By </w:t>
      </w:r>
      <w:r w:rsidR="00B06050" w:rsidRPr="00F42FEC">
        <w:rPr>
          <w:rFonts w:ascii="Arial" w:hAnsi="Arial" w:cs="Arial"/>
          <w:sz w:val="24"/>
          <w:szCs w:val="24"/>
        </w:rPr>
        <w:t>mutual agreement by the parties</w:t>
      </w:r>
      <w:r w:rsidR="00F42FEC" w:rsidRPr="00F42FEC">
        <w:rPr>
          <w:rFonts w:ascii="Arial" w:hAnsi="Arial" w:cs="Arial"/>
          <w:sz w:val="24"/>
          <w:szCs w:val="24"/>
        </w:rPr>
        <w:t xml:space="preserve"> through an appointing authority in terms of the UNCITRAL rules i.e. articles 8 to 10</w:t>
      </w:r>
      <w:r w:rsidR="00F30717">
        <w:rPr>
          <w:rFonts w:ascii="Arial" w:hAnsi="Arial" w:cs="Arial"/>
          <w:sz w:val="24"/>
          <w:szCs w:val="24"/>
        </w:rPr>
        <w:t xml:space="preserve"> whereupon</w:t>
      </w:r>
    </w:p>
    <w:p w14:paraId="0FCA6137" w14:textId="1E684A0F" w:rsidR="00F42FEC" w:rsidRPr="00F42FEC" w:rsidRDefault="00F42FEC" w:rsidP="00B06050">
      <w:pPr>
        <w:pStyle w:val="ListParagraph"/>
        <w:numPr>
          <w:ilvl w:val="0"/>
          <w:numId w:val="5"/>
        </w:numPr>
        <w:spacing w:line="360" w:lineRule="auto"/>
        <w:jc w:val="both"/>
        <w:rPr>
          <w:rFonts w:ascii="Arial" w:hAnsi="Arial" w:cs="Arial"/>
          <w:sz w:val="24"/>
          <w:szCs w:val="24"/>
        </w:rPr>
      </w:pPr>
      <w:r w:rsidRPr="00F42FEC">
        <w:rPr>
          <w:rFonts w:ascii="Arial" w:hAnsi="Arial" w:cs="Arial"/>
          <w:sz w:val="24"/>
          <w:szCs w:val="24"/>
        </w:rPr>
        <w:t>A sole arbitrator may be appointed or if three arbitrators are to be appointed then each party selects an arbitrator and the two arbitrators select a presiding arbitrator</w:t>
      </w:r>
    </w:p>
    <w:p w14:paraId="131BF581" w14:textId="77777777" w:rsidR="00F42FEC" w:rsidRPr="00F42FEC" w:rsidRDefault="00F42FEC" w:rsidP="00F42FEC">
      <w:pPr>
        <w:pStyle w:val="ListParagraph"/>
        <w:numPr>
          <w:ilvl w:val="0"/>
          <w:numId w:val="5"/>
        </w:numPr>
        <w:spacing w:line="360" w:lineRule="auto"/>
        <w:jc w:val="both"/>
        <w:rPr>
          <w:rFonts w:ascii="Arial" w:hAnsi="Arial" w:cs="Arial"/>
          <w:sz w:val="24"/>
          <w:szCs w:val="24"/>
        </w:rPr>
      </w:pPr>
      <w:r w:rsidRPr="00F42FEC">
        <w:rPr>
          <w:rFonts w:ascii="Arial" w:hAnsi="Arial" w:cs="Arial"/>
          <w:sz w:val="24"/>
          <w:szCs w:val="24"/>
        </w:rPr>
        <w:t>If the parties don’t agree there is a default mechanism for appointing the arbitrator</w:t>
      </w:r>
    </w:p>
    <w:p w14:paraId="792E741D" w14:textId="63878FFC" w:rsidR="00F76224" w:rsidRPr="001010F8" w:rsidRDefault="00F42FEC" w:rsidP="001010F8">
      <w:pPr>
        <w:pStyle w:val="ListParagraph"/>
        <w:numPr>
          <w:ilvl w:val="0"/>
          <w:numId w:val="5"/>
        </w:numPr>
        <w:spacing w:line="360" w:lineRule="auto"/>
        <w:jc w:val="both"/>
        <w:rPr>
          <w:rFonts w:ascii="Arial" w:hAnsi="Arial" w:cs="Arial"/>
          <w:sz w:val="24"/>
          <w:szCs w:val="24"/>
        </w:rPr>
      </w:pPr>
      <w:r w:rsidRPr="00F42FEC">
        <w:rPr>
          <w:rFonts w:ascii="Arial" w:hAnsi="Arial" w:cs="Arial"/>
          <w:sz w:val="24"/>
          <w:szCs w:val="24"/>
        </w:rPr>
        <w:t>Otherwise the arbitrator is appointed by the court</w:t>
      </w:r>
    </w:p>
    <w:p w14:paraId="6D38A9B6" w14:textId="77777777" w:rsidR="00D76CE2" w:rsidRPr="00F76224" w:rsidRDefault="00D76CE2" w:rsidP="00F76224">
      <w:pPr>
        <w:rPr>
          <w:rFonts w:ascii="Arial" w:hAnsi="Arial" w:cs="Arial"/>
          <w:sz w:val="24"/>
          <w:szCs w:val="24"/>
        </w:rPr>
      </w:pPr>
      <w:r w:rsidRPr="00F76224">
        <w:rPr>
          <w:rFonts w:ascii="Arial" w:hAnsi="Arial" w:cs="Arial"/>
          <w:sz w:val="24"/>
          <w:szCs w:val="24"/>
        </w:rPr>
        <w:t>Once constituted the tribunal will have jurisdiction to decide on the matter because the principle of party autonomy.</w:t>
      </w:r>
    </w:p>
    <w:p w14:paraId="70883756" w14:textId="12B0E45D" w:rsidR="001010F8" w:rsidRDefault="001010F8" w:rsidP="00D76CE2">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This is provided the </w:t>
      </w:r>
      <w:r w:rsidR="00BF21A2">
        <w:rPr>
          <w:rFonts w:ascii="Arial" w:hAnsi="Arial" w:cs="Arial"/>
          <w:sz w:val="24"/>
          <w:szCs w:val="24"/>
        </w:rPr>
        <w:t>arbitration is severable from the principal agreement</w:t>
      </w:r>
    </w:p>
    <w:p w14:paraId="22081997" w14:textId="273590F7" w:rsidR="00F76224" w:rsidRDefault="00D76CE2" w:rsidP="00D76CE2">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tribunal then decide</w:t>
      </w:r>
      <w:r w:rsidR="00BF21A2">
        <w:rPr>
          <w:rFonts w:ascii="Arial" w:hAnsi="Arial" w:cs="Arial"/>
          <w:sz w:val="24"/>
          <w:szCs w:val="24"/>
        </w:rPr>
        <w:t>s</w:t>
      </w:r>
      <w:r>
        <w:rPr>
          <w:rFonts w:ascii="Arial" w:hAnsi="Arial" w:cs="Arial"/>
          <w:sz w:val="24"/>
          <w:szCs w:val="24"/>
        </w:rPr>
        <w:t xml:space="preserve"> the matter using the law </w:t>
      </w:r>
      <w:r w:rsidR="00F76224">
        <w:rPr>
          <w:rFonts w:ascii="Arial" w:hAnsi="Arial" w:cs="Arial"/>
          <w:sz w:val="24"/>
          <w:szCs w:val="24"/>
        </w:rPr>
        <w:t xml:space="preserve">that the parties expressly selected i.e. </w:t>
      </w:r>
      <w:r>
        <w:rPr>
          <w:rFonts w:ascii="Arial" w:hAnsi="Arial" w:cs="Arial"/>
          <w:sz w:val="24"/>
          <w:szCs w:val="24"/>
        </w:rPr>
        <w:t>Namibia</w:t>
      </w:r>
      <w:r w:rsidR="00F76224">
        <w:rPr>
          <w:rFonts w:ascii="Arial" w:hAnsi="Arial" w:cs="Arial"/>
          <w:sz w:val="24"/>
          <w:szCs w:val="24"/>
        </w:rPr>
        <w:t>n</w:t>
      </w:r>
      <w:r>
        <w:rPr>
          <w:rFonts w:ascii="Arial" w:hAnsi="Arial" w:cs="Arial"/>
          <w:sz w:val="24"/>
          <w:szCs w:val="24"/>
        </w:rPr>
        <w:t xml:space="preserve"> or Germany </w:t>
      </w:r>
      <w:r w:rsidR="00F76224">
        <w:rPr>
          <w:rFonts w:ascii="Arial" w:hAnsi="Arial" w:cs="Arial"/>
          <w:sz w:val="24"/>
          <w:szCs w:val="24"/>
        </w:rPr>
        <w:t>law</w:t>
      </w:r>
    </w:p>
    <w:p w14:paraId="06650629" w14:textId="4E0C6849" w:rsidR="00D76CE2" w:rsidRDefault="00F76224" w:rsidP="00D76CE2">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law of the seat of arbitration may be used provided it preserves the validity of the agreement</w:t>
      </w:r>
    </w:p>
    <w:p w14:paraId="4D099B0D" w14:textId="1029E97D" w:rsidR="00F76224" w:rsidRPr="00F42FEC" w:rsidRDefault="00F76224" w:rsidP="00D76CE2">
      <w:pPr>
        <w:pStyle w:val="ListParagraph"/>
        <w:numPr>
          <w:ilvl w:val="0"/>
          <w:numId w:val="5"/>
        </w:numPr>
        <w:spacing w:line="360" w:lineRule="auto"/>
        <w:jc w:val="both"/>
        <w:rPr>
          <w:rFonts w:ascii="Arial" w:hAnsi="Arial" w:cs="Arial"/>
          <w:sz w:val="24"/>
          <w:szCs w:val="24"/>
        </w:rPr>
      </w:pPr>
      <w:r>
        <w:rPr>
          <w:rFonts w:ascii="Arial" w:hAnsi="Arial" w:cs="Arial"/>
          <w:sz w:val="24"/>
          <w:szCs w:val="24"/>
        </w:rPr>
        <w:t>Previously the law governing the commercial contract would have been used</w:t>
      </w:r>
    </w:p>
    <w:p w14:paraId="1F4E1F85" w14:textId="77777777" w:rsidR="00F42FEC" w:rsidRPr="00F42FEC" w:rsidRDefault="00F42FEC" w:rsidP="00F30717">
      <w:pPr>
        <w:pStyle w:val="ListParagraph"/>
        <w:spacing w:line="360" w:lineRule="auto"/>
        <w:ind w:left="792"/>
        <w:jc w:val="both"/>
        <w:rPr>
          <w:rFonts w:ascii="Arial" w:hAnsi="Arial" w:cs="Arial"/>
          <w:sz w:val="24"/>
          <w:szCs w:val="24"/>
        </w:rPr>
      </w:pPr>
    </w:p>
    <w:p w14:paraId="59716447" w14:textId="6E20E87C" w:rsidR="00D76CE2" w:rsidRDefault="00D76CE2" w:rsidP="002F7310">
      <w:pPr>
        <w:spacing w:line="360" w:lineRule="auto"/>
        <w:jc w:val="both"/>
        <w:rPr>
          <w:rFonts w:ascii="Arial" w:hAnsi="Arial" w:cs="Arial"/>
          <w:sz w:val="24"/>
          <w:szCs w:val="24"/>
        </w:rPr>
      </w:pPr>
    </w:p>
    <w:p w14:paraId="7F83BE13" w14:textId="7C1FE7CB" w:rsidR="00D76CE2" w:rsidRDefault="00D76CE2" w:rsidP="002F7310">
      <w:pPr>
        <w:spacing w:line="360" w:lineRule="auto"/>
        <w:jc w:val="both"/>
        <w:rPr>
          <w:rFonts w:ascii="Arial" w:hAnsi="Arial" w:cs="Arial"/>
          <w:sz w:val="24"/>
          <w:szCs w:val="24"/>
        </w:rPr>
      </w:pPr>
    </w:p>
    <w:p w14:paraId="6F0C518D" w14:textId="77777777" w:rsidR="00D76CE2" w:rsidRPr="00F42FEC" w:rsidRDefault="00D76CE2" w:rsidP="002F7310">
      <w:pPr>
        <w:spacing w:line="360" w:lineRule="auto"/>
        <w:jc w:val="both"/>
        <w:rPr>
          <w:rFonts w:ascii="Arial" w:hAnsi="Arial" w:cs="Arial"/>
          <w:sz w:val="24"/>
          <w:szCs w:val="24"/>
        </w:rPr>
      </w:pPr>
    </w:p>
    <w:p w14:paraId="6F584363" w14:textId="77777777" w:rsidR="001010F8" w:rsidRDefault="001010F8" w:rsidP="002F7310">
      <w:pPr>
        <w:spacing w:line="360" w:lineRule="auto"/>
        <w:jc w:val="both"/>
        <w:rPr>
          <w:rFonts w:ascii="Arial" w:hAnsi="Arial" w:cs="Arial"/>
          <w:sz w:val="24"/>
          <w:szCs w:val="24"/>
        </w:rPr>
      </w:pPr>
    </w:p>
    <w:p w14:paraId="75298255" w14:textId="074E5D94" w:rsidR="001010F8" w:rsidRPr="00BF21A2" w:rsidRDefault="00D40238" w:rsidP="001010F8">
      <w:pPr>
        <w:spacing w:line="360" w:lineRule="auto"/>
        <w:jc w:val="both"/>
        <w:rPr>
          <w:rFonts w:ascii="Arial" w:hAnsi="Arial" w:cs="Arial"/>
          <w:bCs/>
          <w:sz w:val="24"/>
          <w:szCs w:val="24"/>
        </w:rPr>
      </w:pPr>
      <w:r>
        <w:rPr>
          <w:rFonts w:ascii="Arial" w:hAnsi="Arial" w:cs="Arial"/>
          <w:bCs/>
          <w:sz w:val="24"/>
          <w:szCs w:val="24"/>
          <w:u w:val="single"/>
        </w:rPr>
        <w:lastRenderedPageBreak/>
        <w:t xml:space="preserve">Improvements to </w:t>
      </w:r>
      <w:r w:rsidR="001010F8" w:rsidRPr="00BF21A2">
        <w:rPr>
          <w:rFonts w:ascii="Arial" w:hAnsi="Arial" w:cs="Arial"/>
          <w:bCs/>
          <w:sz w:val="24"/>
          <w:szCs w:val="24"/>
          <w:u w:val="single"/>
        </w:rPr>
        <w:t>the arbitration clause</w:t>
      </w:r>
    </w:p>
    <w:p w14:paraId="7309CB56" w14:textId="2531FE1F" w:rsidR="00D40238" w:rsidRDefault="00D40238" w:rsidP="00D40238">
      <w:pPr>
        <w:pStyle w:val="ListParagraph"/>
        <w:numPr>
          <w:ilvl w:val="0"/>
          <w:numId w:val="7"/>
        </w:numPr>
        <w:spacing w:line="360" w:lineRule="auto"/>
        <w:jc w:val="both"/>
        <w:rPr>
          <w:rFonts w:ascii="Arial" w:hAnsi="Arial" w:cs="Arial"/>
          <w:bCs/>
          <w:sz w:val="24"/>
          <w:szCs w:val="24"/>
        </w:rPr>
      </w:pPr>
      <w:r>
        <w:rPr>
          <w:rFonts w:ascii="Arial" w:hAnsi="Arial" w:cs="Arial"/>
          <w:bCs/>
          <w:sz w:val="24"/>
          <w:szCs w:val="24"/>
        </w:rPr>
        <w:t>An arbitration clause must be consistent, certain and operable</w:t>
      </w:r>
    </w:p>
    <w:p w14:paraId="09EEB718" w14:textId="458178F7" w:rsidR="00D40238" w:rsidRDefault="00D40238" w:rsidP="00D40238">
      <w:pPr>
        <w:pStyle w:val="ListParagraph"/>
        <w:numPr>
          <w:ilvl w:val="0"/>
          <w:numId w:val="7"/>
        </w:numPr>
        <w:spacing w:line="360" w:lineRule="auto"/>
        <w:jc w:val="both"/>
        <w:rPr>
          <w:rFonts w:ascii="Arial" w:hAnsi="Arial" w:cs="Arial"/>
          <w:bCs/>
          <w:sz w:val="24"/>
          <w:szCs w:val="24"/>
        </w:rPr>
      </w:pPr>
      <w:r>
        <w:rPr>
          <w:rFonts w:ascii="Arial" w:hAnsi="Arial" w:cs="Arial"/>
          <w:bCs/>
          <w:sz w:val="24"/>
          <w:szCs w:val="24"/>
        </w:rPr>
        <w:t>In that respect, I would use an international reference as a standard to revise the clause</w:t>
      </w:r>
      <w:r w:rsidR="00236FBD">
        <w:rPr>
          <w:rStyle w:val="FootnoteReference"/>
          <w:rFonts w:ascii="Arial" w:hAnsi="Arial" w:cs="Arial"/>
          <w:bCs/>
          <w:sz w:val="24"/>
          <w:szCs w:val="24"/>
        </w:rPr>
        <w:footnoteReference w:id="2"/>
      </w:r>
    </w:p>
    <w:p w14:paraId="130A7187" w14:textId="7F9CCF41" w:rsidR="00236FBD" w:rsidRDefault="00236FBD" w:rsidP="00D40238">
      <w:pPr>
        <w:pStyle w:val="ListParagraph"/>
        <w:numPr>
          <w:ilvl w:val="0"/>
          <w:numId w:val="7"/>
        </w:numPr>
        <w:spacing w:line="360" w:lineRule="auto"/>
        <w:jc w:val="both"/>
        <w:rPr>
          <w:rFonts w:ascii="Arial" w:hAnsi="Arial" w:cs="Arial"/>
          <w:bCs/>
          <w:sz w:val="24"/>
          <w:szCs w:val="24"/>
        </w:rPr>
      </w:pPr>
      <w:r w:rsidRPr="00C965FF">
        <w:rPr>
          <w:rFonts w:ascii="Arial" w:hAnsi="Arial" w:cs="Arial"/>
          <w:bCs/>
          <w:sz w:val="24"/>
          <w:szCs w:val="24"/>
        </w:rPr>
        <w:t>Based on the international standard I would implement the following revision</w:t>
      </w:r>
    </w:p>
    <w:p w14:paraId="3DC7EC78" w14:textId="77777777" w:rsidR="00C965FF" w:rsidRPr="00C965FF" w:rsidRDefault="00C965FF" w:rsidP="00C965FF">
      <w:pPr>
        <w:pStyle w:val="ListParagraph"/>
        <w:spacing w:line="360" w:lineRule="auto"/>
        <w:ind w:left="502"/>
        <w:jc w:val="both"/>
        <w:rPr>
          <w:rFonts w:ascii="Arial" w:hAnsi="Arial" w:cs="Arial"/>
          <w:bCs/>
          <w:sz w:val="24"/>
          <w:szCs w:val="24"/>
        </w:rPr>
      </w:pPr>
    </w:p>
    <w:p w14:paraId="04EB9711" w14:textId="367775D0" w:rsidR="00236FBD" w:rsidRPr="00C965FF" w:rsidRDefault="00236FBD" w:rsidP="00236FBD">
      <w:pPr>
        <w:pStyle w:val="ListParagraph"/>
        <w:spacing w:line="360" w:lineRule="auto"/>
        <w:ind w:left="502"/>
        <w:jc w:val="both"/>
        <w:rPr>
          <w:rFonts w:ascii="Arial" w:hAnsi="Arial" w:cs="Arial"/>
          <w:bCs/>
          <w:i/>
          <w:iCs/>
          <w:sz w:val="24"/>
          <w:szCs w:val="24"/>
        </w:rPr>
      </w:pPr>
      <w:r w:rsidRPr="00C965FF">
        <w:rPr>
          <w:rFonts w:ascii="Arial" w:hAnsi="Arial" w:cs="Arial"/>
          <w:bCs/>
          <w:i/>
          <w:iCs/>
          <w:sz w:val="24"/>
          <w:szCs w:val="24"/>
        </w:rPr>
        <w:t>"Any dispute</w:t>
      </w:r>
      <w:r w:rsidRPr="00C965FF">
        <w:rPr>
          <w:rFonts w:ascii="Arial" w:hAnsi="Arial" w:cs="Arial"/>
          <w:bCs/>
          <w:i/>
          <w:iCs/>
          <w:sz w:val="24"/>
          <w:szCs w:val="24"/>
        </w:rPr>
        <w:t>’’</w:t>
      </w:r>
      <w:r w:rsidRPr="00C965FF">
        <w:rPr>
          <w:rFonts w:ascii="Arial" w:hAnsi="Arial" w:cs="Arial"/>
          <w:bCs/>
          <w:i/>
          <w:iCs/>
          <w:sz w:val="24"/>
          <w:szCs w:val="24"/>
        </w:rPr>
        <w:t xml:space="preserve"> arising out of or in connection with this contract, including any question regarding its existence, validity or termination, shall be referred to and finally resolved by arbitration under the </w:t>
      </w:r>
      <w:r w:rsidRPr="00C965FF">
        <w:rPr>
          <w:rFonts w:ascii="Arial" w:hAnsi="Arial" w:cs="Arial"/>
          <w:bCs/>
          <w:i/>
          <w:iCs/>
          <w:sz w:val="24"/>
          <w:szCs w:val="24"/>
        </w:rPr>
        <w:t>UNCITRAL</w:t>
      </w:r>
      <w:r w:rsidRPr="00C965FF">
        <w:rPr>
          <w:rFonts w:ascii="Arial" w:hAnsi="Arial" w:cs="Arial"/>
          <w:bCs/>
          <w:i/>
          <w:iCs/>
          <w:sz w:val="24"/>
          <w:szCs w:val="24"/>
        </w:rPr>
        <w:t xml:space="preserve"> Rules, which Rules are deemed to be incorporated by reference into this clause.</w:t>
      </w:r>
    </w:p>
    <w:p w14:paraId="6A093E02" w14:textId="77777777" w:rsidR="00C965FF" w:rsidRPr="00C965FF" w:rsidRDefault="00C965FF" w:rsidP="00236FBD">
      <w:pPr>
        <w:pStyle w:val="ListParagraph"/>
        <w:spacing w:line="360" w:lineRule="auto"/>
        <w:ind w:left="502"/>
        <w:jc w:val="both"/>
        <w:rPr>
          <w:rFonts w:ascii="Arial" w:hAnsi="Arial" w:cs="Arial"/>
          <w:bCs/>
          <w:sz w:val="24"/>
          <w:szCs w:val="24"/>
        </w:rPr>
      </w:pPr>
    </w:p>
    <w:p w14:paraId="5D0F2044" w14:textId="453AF3E0" w:rsidR="00236FBD" w:rsidRPr="00236FBD" w:rsidRDefault="00236FBD" w:rsidP="00236FBD">
      <w:pPr>
        <w:pStyle w:val="ListParagraph"/>
        <w:numPr>
          <w:ilvl w:val="0"/>
          <w:numId w:val="8"/>
        </w:numPr>
        <w:spacing w:line="360" w:lineRule="auto"/>
        <w:jc w:val="both"/>
        <w:rPr>
          <w:rFonts w:ascii="Arial" w:hAnsi="Arial" w:cs="Arial"/>
          <w:bCs/>
          <w:sz w:val="24"/>
          <w:szCs w:val="24"/>
        </w:rPr>
      </w:pPr>
      <w:r w:rsidRPr="00236FBD">
        <w:rPr>
          <w:rFonts w:ascii="Arial" w:hAnsi="Arial" w:cs="Arial"/>
          <w:bCs/>
          <w:sz w:val="24"/>
          <w:szCs w:val="24"/>
        </w:rPr>
        <w:t xml:space="preserve">The number of arbitrators shall be </w:t>
      </w:r>
      <w:r w:rsidRPr="00C965FF">
        <w:rPr>
          <w:rFonts w:ascii="Arial" w:hAnsi="Arial" w:cs="Arial"/>
          <w:bCs/>
          <w:sz w:val="24"/>
          <w:szCs w:val="24"/>
        </w:rPr>
        <w:t>three</w:t>
      </w:r>
      <w:r w:rsidRPr="00236FBD">
        <w:rPr>
          <w:rFonts w:ascii="Arial" w:hAnsi="Arial" w:cs="Arial"/>
          <w:bCs/>
          <w:sz w:val="24"/>
          <w:szCs w:val="24"/>
        </w:rPr>
        <w:t>.</w:t>
      </w:r>
    </w:p>
    <w:p w14:paraId="2855A727" w14:textId="405BE1DF" w:rsidR="00236FBD" w:rsidRPr="00236FBD" w:rsidRDefault="00236FBD" w:rsidP="00236FBD">
      <w:pPr>
        <w:pStyle w:val="ListParagraph"/>
        <w:numPr>
          <w:ilvl w:val="0"/>
          <w:numId w:val="8"/>
        </w:numPr>
        <w:spacing w:line="360" w:lineRule="auto"/>
        <w:jc w:val="both"/>
        <w:rPr>
          <w:rFonts w:ascii="Arial" w:hAnsi="Arial" w:cs="Arial"/>
          <w:bCs/>
          <w:sz w:val="24"/>
          <w:szCs w:val="24"/>
        </w:rPr>
      </w:pPr>
      <w:r w:rsidRPr="00236FBD">
        <w:rPr>
          <w:rFonts w:ascii="Arial" w:hAnsi="Arial" w:cs="Arial"/>
          <w:bCs/>
          <w:sz w:val="24"/>
          <w:szCs w:val="24"/>
        </w:rPr>
        <w:t xml:space="preserve">The seat, or legal place, of arbitration shall be </w:t>
      </w:r>
      <w:r w:rsidRPr="00C965FF">
        <w:rPr>
          <w:rFonts w:ascii="Arial" w:hAnsi="Arial" w:cs="Arial"/>
          <w:bCs/>
          <w:sz w:val="24"/>
          <w:szCs w:val="24"/>
        </w:rPr>
        <w:t>Johannesburg.</w:t>
      </w:r>
    </w:p>
    <w:p w14:paraId="78FA5609" w14:textId="3E38587F" w:rsidR="00236FBD" w:rsidRPr="00236FBD" w:rsidRDefault="00236FBD" w:rsidP="00236FBD">
      <w:pPr>
        <w:pStyle w:val="ListParagraph"/>
        <w:numPr>
          <w:ilvl w:val="0"/>
          <w:numId w:val="8"/>
        </w:numPr>
        <w:spacing w:line="360" w:lineRule="auto"/>
        <w:jc w:val="both"/>
        <w:rPr>
          <w:rFonts w:ascii="Arial" w:hAnsi="Arial" w:cs="Arial"/>
          <w:bCs/>
          <w:sz w:val="24"/>
          <w:szCs w:val="24"/>
        </w:rPr>
      </w:pPr>
      <w:r w:rsidRPr="00236FBD">
        <w:rPr>
          <w:rFonts w:ascii="Arial" w:hAnsi="Arial" w:cs="Arial"/>
          <w:bCs/>
          <w:sz w:val="24"/>
          <w:szCs w:val="24"/>
        </w:rPr>
        <w:t xml:space="preserve">The language to be used in the arbitral proceedings shall be </w:t>
      </w:r>
      <w:r w:rsidRPr="00C965FF">
        <w:rPr>
          <w:rFonts w:ascii="Arial" w:hAnsi="Arial" w:cs="Arial"/>
          <w:bCs/>
          <w:sz w:val="24"/>
          <w:szCs w:val="24"/>
        </w:rPr>
        <w:t>English</w:t>
      </w:r>
      <w:r w:rsidRPr="00236FBD">
        <w:rPr>
          <w:rFonts w:ascii="Arial" w:hAnsi="Arial" w:cs="Arial"/>
          <w:bCs/>
          <w:sz w:val="24"/>
          <w:szCs w:val="24"/>
        </w:rPr>
        <w:t>.</w:t>
      </w:r>
    </w:p>
    <w:p w14:paraId="36C3936D" w14:textId="2C238BEC" w:rsidR="00236FBD" w:rsidRPr="00236FBD" w:rsidRDefault="00236FBD" w:rsidP="00236FBD">
      <w:pPr>
        <w:pStyle w:val="ListParagraph"/>
        <w:numPr>
          <w:ilvl w:val="0"/>
          <w:numId w:val="8"/>
        </w:numPr>
        <w:spacing w:line="360" w:lineRule="auto"/>
        <w:jc w:val="both"/>
        <w:rPr>
          <w:rFonts w:ascii="Arial" w:hAnsi="Arial" w:cs="Arial"/>
          <w:bCs/>
          <w:sz w:val="24"/>
          <w:szCs w:val="24"/>
        </w:rPr>
      </w:pPr>
      <w:r w:rsidRPr="00236FBD">
        <w:rPr>
          <w:rFonts w:ascii="Arial" w:hAnsi="Arial" w:cs="Arial"/>
          <w:bCs/>
          <w:sz w:val="24"/>
          <w:szCs w:val="24"/>
        </w:rPr>
        <w:t xml:space="preserve">The governing law of the contract shall be the substantive law of </w:t>
      </w:r>
      <w:r w:rsidRPr="00C965FF">
        <w:rPr>
          <w:rFonts w:ascii="Arial" w:hAnsi="Arial" w:cs="Arial"/>
          <w:bCs/>
          <w:sz w:val="24"/>
          <w:szCs w:val="24"/>
        </w:rPr>
        <w:t>South Africa</w:t>
      </w:r>
      <w:r w:rsidRPr="00236FBD">
        <w:rPr>
          <w:rFonts w:ascii="Arial" w:hAnsi="Arial" w:cs="Arial"/>
          <w:bCs/>
          <w:sz w:val="24"/>
          <w:szCs w:val="24"/>
        </w:rPr>
        <w:t>.</w:t>
      </w:r>
    </w:p>
    <w:p w14:paraId="1FB34330" w14:textId="6BFA907F" w:rsidR="00B07FAA" w:rsidRPr="00F42FEC" w:rsidRDefault="00B07FAA" w:rsidP="002F7310">
      <w:pPr>
        <w:spacing w:line="360" w:lineRule="auto"/>
        <w:jc w:val="both"/>
        <w:rPr>
          <w:rFonts w:ascii="Arial" w:hAnsi="Arial" w:cs="Arial"/>
          <w:sz w:val="24"/>
          <w:szCs w:val="24"/>
        </w:rPr>
      </w:pPr>
    </w:p>
    <w:p w14:paraId="3B2542F5" w14:textId="1C0929E4" w:rsidR="00E92A66" w:rsidRDefault="00E92A66" w:rsidP="002F7310">
      <w:pPr>
        <w:spacing w:line="360" w:lineRule="auto"/>
        <w:jc w:val="both"/>
        <w:rPr>
          <w:rFonts w:ascii="Arial" w:hAnsi="Arial" w:cs="Arial"/>
          <w:b/>
          <w:bCs/>
          <w:sz w:val="24"/>
          <w:szCs w:val="24"/>
          <w:u w:val="single"/>
        </w:rPr>
      </w:pPr>
      <w:r w:rsidRPr="00351FBE">
        <w:rPr>
          <w:rFonts w:ascii="Arial" w:hAnsi="Arial" w:cs="Arial"/>
          <w:b/>
          <w:bCs/>
          <w:sz w:val="24"/>
          <w:szCs w:val="24"/>
          <w:u w:val="single"/>
        </w:rPr>
        <w:t>QUESTION 2</w:t>
      </w:r>
    </w:p>
    <w:p w14:paraId="231C8DF7" w14:textId="77777777" w:rsidR="004240EA" w:rsidRDefault="004240EA" w:rsidP="004240EA">
      <w:pPr>
        <w:spacing w:line="360" w:lineRule="auto"/>
        <w:jc w:val="both"/>
        <w:rPr>
          <w:rFonts w:ascii="Arial" w:hAnsi="Arial" w:cs="Arial"/>
          <w:bCs/>
          <w:sz w:val="24"/>
          <w:szCs w:val="24"/>
        </w:rPr>
      </w:pPr>
      <w:r>
        <w:rPr>
          <w:rFonts w:ascii="Arial" w:hAnsi="Arial" w:cs="Arial"/>
          <w:bCs/>
          <w:i/>
          <w:iCs/>
          <w:sz w:val="24"/>
          <w:szCs w:val="24"/>
          <w:u w:val="single"/>
        </w:rPr>
        <w:t>Relevance to Arbitrator’s impartiality</w:t>
      </w:r>
    </w:p>
    <w:p w14:paraId="142B0ADE" w14:textId="30DF3E4D" w:rsidR="004240EA" w:rsidRDefault="004240EA" w:rsidP="004240EA">
      <w:pPr>
        <w:pStyle w:val="ListParagraph"/>
        <w:numPr>
          <w:ilvl w:val="0"/>
          <w:numId w:val="9"/>
        </w:numPr>
        <w:spacing w:line="360" w:lineRule="auto"/>
        <w:jc w:val="both"/>
        <w:rPr>
          <w:rFonts w:ascii="Arial" w:hAnsi="Arial" w:cs="Arial"/>
          <w:bCs/>
          <w:sz w:val="24"/>
          <w:szCs w:val="24"/>
        </w:rPr>
      </w:pPr>
      <w:r w:rsidRPr="004240EA">
        <w:rPr>
          <w:rFonts w:ascii="Arial" w:hAnsi="Arial" w:cs="Arial"/>
          <w:bCs/>
          <w:sz w:val="24"/>
          <w:szCs w:val="24"/>
        </w:rPr>
        <w:t>In terms of a</w:t>
      </w:r>
      <w:r w:rsidRPr="004240EA">
        <w:rPr>
          <w:rFonts w:ascii="Arial" w:hAnsi="Arial" w:cs="Arial"/>
          <w:bCs/>
          <w:sz w:val="24"/>
          <w:szCs w:val="24"/>
        </w:rPr>
        <w:t>rticle 5.4</w:t>
      </w:r>
      <w:r w:rsidRPr="004240EA">
        <w:rPr>
          <w:rFonts w:ascii="Arial" w:hAnsi="Arial" w:cs="Arial"/>
          <w:bCs/>
          <w:sz w:val="24"/>
          <w:szCs w:val="24"/>
        </w:rPr>
        <w:t xml:space="preserve"> and 5.5</w:t>
      </w:r>
      <w:r w:rsidRPr="004240EA">
        <w:rPr>
          <w:rFonts w:ascii="Arial" w:hAnsi="Arial" w:cs="Arial"/>
          <w:bCs/>
          <w:sz w:val="24"/>
          <w:szCs w:val="24"/>
        </w:rPr>
        <w:t xml:space="preserve"> </w:t>
      </w:r>
      <w:r>
        <w:rPr>
          <w:rFonts w:ascii="Arial" w:hAnsi="Arial" w:cs="Arial"/>
          <w:bCs/>
          <w:sz w:val="24"/>
          <w:szCs w:val="24"/>
        </w:rPr>
        <w:t>of the rules, an arbitrator must make pre and post appointment declarations relating to his independence and impartiality</w:t>
      </w:r>
    </w:p>
    <w:p w14:paraId="7F65E337" w14:textId="43B2E1E3" w:rsidR="004240EA" w:rsidRDefault="004240EA" w:rsidP="004240EA">
      <w:pPr>
        <w:pStyle w:val="ListParagraph"/>
        <w:numPr>
          <w:ilvl w:val="0"/>
          <w:numId w:val="9"/>
        </w:numPr>
        <w:spacing w:line="360" w:lineRule="auto"/>
        <w:jc w:val="both"/>
        <w:rPr>
          <w:rFonts w:ascii="Arial" w:hAnsi="Arial" w:cs="Arial"/>
          <w:bCs/>
          <w:sz w:val="24"/>
          <w:szCs w:val="24"/>
        </w:rPr>
      </w:pPr>
      <w:r>
        <w:rPr>
          <w:rFonts w:ascii="Arial" w:hAnsi="Arial" w:cs="Arial"/>
          <w:bCs/>
          <w:sz w:val="24"/>
          <w:szCs w:val="24"/>
        </w:rPr>
        <w:t xml:space="preserve">In terms of the former, the arbitrator must make known </w:t>
      </w:r>
      <w:r w:rsidR="005B1AEE">
        <w:rPr>
          <w:rFonts w:ascii="Arial" w:hAnsi="Arial" w:cs="Arial"/>
          <w:bCs/>
          <w:sz w:val="24"/>
          <w:szCs w:val="24"/>
        </w:rPr>
        <w:t>any circumstance that has potential to be deemed a potential conflict of interest</w:t>
      </w:r>
      <w:r w:rsidR="003500FB">
        <w:rPr>
          <w:rFonts w:ascii="Arial" w:hAnsi="Arial" w:cs="Arial"/>
          <w:bCs/>
          <w:sz w:val="24"/>
          <w:szCs w:val="24"/>
        </w:rPr>
        <w:t xml:space="preserve"> i.e. independence</w:t>
      </w:r>
    </w:p>
    <w:p w14:paraId="1B609C6F" w14:textId="77777777" w:rsidR="005B1AEE" w:rsidRDefault="005B1AEE" w:rsidP="004240EA">
      <w:pPr>
        <w:pStyle w:val="ListParagraph"/>
        <w:numPr>
          <w:ilvl w:val="0"/>
          <w:numId w:val="9"/>
        </w:numPr>
        <w:spacing w:line="360" w:lineRule="auto"/>
        <w:jc w:val="both"/>
        <w:rPr>
          <w:rFonts w:ascii="Arial" w:hAnsi="Arial" w:cs="Arial"/>
          <w:bCs/>
          <w:sz w:val="24"/>
          <w:szCs w:val="24"/>
        </w:rPr>
      </w:pPr>
      <w:r>
        <w:rPr>
          <w:rFonts w:ascii="Arial" w:hAnsi="Arial" w:cs="Arial"/>
          <w:bCs/>
          <w:sz w:val="24"/>
          <w:szCs w:val="24"/>
        </w:rPr>
        <w:t xml:space="preserve">In the latter, once appointed, </w:t>
      </w:r>
      <w:r w:rsidR="004240EA" w:rsidRPr="005B1AEE">
        <w:rPr>
          <w:rFonts w:ascii="Arial" w:hAnsi="Arial" w:cs="Arial"/>
          <w:bCs/>
          <w:sz w:val="24"/>
          <w:szCs w:val="24"/>
        </w:rPr>
        <w:t xml:space="preserve">the arbitrator </w:t>
      </w:r>
      <w:r>
        <w:rPr>
          <w:rFonts w:ascii="Arial" w:hAnsi="Arial" w:cs="Arial"/>
          <w:bCs/>
          <w:sz w:val="24"/>
          <w:szCs w:val="24"/>
        </w:rPr>
        <w:t xml:space="preserve">must </w:t>
      </w:r>
      <w:r w:rsidR="004240EA" w:rsidRPr="005B1AEE">
        <w:rPr>
          <w:rFonts w:ascii="Arial" w:hAnsi="Arial" w:cs="Arial"/>
          <w:bCs/>
          <w:sz w:val="24"/>
          <w:szCs w:val="24"/>
        </w:rPr>
        <w:t xml:space="preserve">disclose </w:t>
      </w:r>
      <w:r>
        <w:rPr>
          <w:rFonts w:ascii="Arial" w:hAnsi="Arial" w:cs="Arial"/>
          <w:bCs/>
          <w:sz w:val="24"/>
          <w:szCs w:val="24"/>
        </w:rPr>
        <w:t xml:space="preserve">in written format any circumstance that may lead to </w:t>
      </w:r>
      <w:r w:rsidR="004240EA" w:rsidRPr="005B1AEE">
        <w:rPr>
          <w:rFonts w:ascii="Arial" w:hAnsi="Arial" w:cs="Arial"/>
          <w:bCs/>
          <w:sz w:val="24"/>
          <w:szCs w:val="24"/>
        </w:rPr>
        <w:t>doubt</w:t>
      </w:r>
      <w:r>
        <w:rPr>
          <w:rFonts w:ascii="Arial" w:hAnsi="Arial" w:cs="Arial"/>
          <w:bCs/>
          <w:sz w:val="24"/>
          <w:szCs w:val="24"/>
        </w:rPr>
        <w:t xml:space="preserve"> concerning his</w:t>
      </w:r>
      <w:r w:rsidR="004240EA" w:rsidRPr="005B1AEE">
        <w:rPr>
          <w:rFonts w:ascii="Arial" w:hAnsi="Arial" w:cs="Arial"/>
          <w:bCs/>
          <w:sz w:val="24"/>
          <w:szCs w:val="24"/>
        </w:rPr>
        <w:t xml:space="preserve"> impartiality or independence. </w:t>
      </w:r>
    </w:p>
    <w:p w14:paraId="798ABAB9" w14:textId="3E48000C" w:rsidR="00123447" w:rsidRDefault="007956DD" w:rsidP="004240EA">
      <w:pPr>
        <w:pStyle w:val="ListParagraph"/>
        <w:numPr>
          <w:ilvl w:val="0"/>
          <w:numId w:val="9"/>
        </w:numPr>
        <w:spacing w:line="360" w:lineRule="auto"/>
        <w:jc w:val="both"/>
        <w:rPr>
          <w:rFonts w:ascii="Arial" w:hAnsi="Arial" w:cs="Arial"/>
          <w:bCs/>
          <w:sz w:val="24"/>
          <w:szCs w:val="24"/>
        </w:rPr>
      </w:pPr>
      <w:r>
        <w:rPr>
          <w:rFonts w:ascii="Arial" w:hAnsi="Arial" w:cs="Arial"/>
          <w:bCs/>
          <w:sz w:val="24"/>
          <w:szCs w:val="24"/>
        </w:rPr>
        <w:t>These declarations</w:t>
      </w:r>
      <w:r w:rsidR="00123447">
        <w:rPr>
          <w:rFonts w:ascii="Arial" w:hAnsi="Arial" w:cs="Arial"/>
          <w:bCs/>
          <w:sz w:val="24"/>
          <w:szCs w:val="24"/>
        </w:rPr>
        <w:t xml:space="preserve"> must be made known to all stakeholders in the arbitration proceedings</w:t>
      </w:r>
    </w:p>
    <w:p w14:paraId="296160BA" w14:textId="15677854" w:rsidR="007956DD" w:rsidRDefault="004240EA" w:rsidP="003500FB">
      <w:pPr>
        <w:pStyle w:val="ListParagraph"/>
        <w:numPr>
          <w:ilvl w:val="0"/>
          <w:numId w:val="9"/>
        </w:numPr>
        <w:spacing w:line="360" w:lineRule="auto"/>
        <w:ind w:left="499" w:hanging="357"/>
        <w:jc w:val="both"/>
        <w:rPr>
          <w:rFonts w:ascii="Arial" w:hAnsi="Arial" w:cs="Arial"/>
          <w:bCs/>
          <w:sz w:val="24"/>
          <w:szCs w:val="24"/>
        </w:rPr>
      </w:pPr>
      <w:r w:rsidRPr="005B1AEE">
        <w:rPr>
          <w:rFonts w:ascii="Arial" w:hAnsi="Arial" w:cs="Arial"/>
          <w:bCs/>
          <w:sz w:val="24"/>
          <w:szCs w:val="24"/>
        </w:rPr>
        <w:t>This declaration must also be made</w:t>
      </w:r>
      <w:r w:rsidR="007956DD">
        <w:rPr>
          <w:rFonts w:ascii="Arial" w:hAnsi="Arial" w:cs="Arial"/>
          <w:bCs/>
          <w:sz w:val="24"/>
          <w:szCs w:val="24"/>
        </w:rPr>
        <w:t xml:space="preserve"> known</w:t>
      </w:r>
      <w:r w:rsidRPr="005B1AEE">
        <w:rPr>
          <w:rFonts w:ascii="Arial" w:hAnsi="Arial" w:cs="Arial"/>
          <w:bCs/>
          <w:sz w:val="24"/>
          <w:szCs w:val="24"/>
        </w:rPr>
        <w:t xml:space="preserve"> to the other members of the tribunal as well as all parties in the arbitration.</w:t>
      </w:r>
    </w:p>
    <w:p w14:paraId="3D7FDBD9" w14:textId="0B75B895" w:rsidR="003500FB" w:rsidRPr="003500FB" w:rsidRDefault="003500FB" w:rsidP="003500FB">
      <w:pPr>
        <w:pStyle w:val="ListParagraph"/>
        <w:numPr>
          <w:ilvl w:val="0"/>
          <w:numId w:val="9"/>
        </w:numPr>
        <w:spacing w:line="360" w:lineRule="auto"/>
        <w:ind w:left="499" w:hanging="357"/>
        <w:rPr>
          <w:rFonts w:ascii="Arial" w:hAnsi="Arial" w:cs="Arial"/>
          <w:bCs/>
          <w:sz w:val="24"/>
          <w:szCs w:val="24"/>
        </w:rPr>
      </w:pPr>
      <w:r w:rsidRPr="003500FB">
        <w:rPr>
          <w:rFonts w:ascii="Arial" w:hAnsi="Arial" w:cs="Arial"/>
          <w:bCs/>
          <w:sz w:val="24"/>
          <w:szCs w:val="24"/>
        </w:rPr>
        <w:lastRenderedPageBreak/>
        <w:t>Independence refers to the requirement that there be no actual or past dependent relationship between the parties and the arbitrators which may or at least appear to affect the arbitrator’s freedom of judgment</w:t>
      </w:r>
    </w:p>
    <w:p w14:paraId="388FACB2" w14:textId="52FAFCA8" w:rsidR="004240EA" w:rsidRDefault="007956DD" w:rsidP="004240EA">
      <w:pPr>
        <w:pStyle w:val="ListParagraph"/>
        <w:numPr>
          <w:ilvl w:val="0"/>
          <w:numId w:val="9"/>
        </w:numPr>
        <w:spacing w:line="360" w:lineRule="auto"/>
        <w:jc w:val="both"/>
        <w:rPr>
          <w:rFonts w:ascii="Arial" w:hAnsi="Arial" w:cs="Arial"/>
          <w:bCs/>
          <w:sz w:val="24"/>
          <w:szCs w:val="24"/>
        </w:rPr>
      </w:pPr>
      <w:r>
        <w:rPr>
          <w:rFonts w:ascii="Arial" w:hAnsi="Arial" w:cs="Arial"/>
          <w:bCs/>
          <w:sz w:val="24"/>
          <w:szCs w:val="24"/>
        </w:rPr>
        <w:t>In the present matter, the change in attorneys brings rise to a potential conflict of interest which must be addressed</w:t>
      </w:r>
    </w:p>
    <w:p w14:paraId="41E0EF39" w14:textId="29A82325" w:rsidR="007956DD" w:rsidRDefault="007956DD" w:rsidP="004240EA">
      <w:pPr>
        <w:pStyle w:val="ListParagraph"/>
        <w:numPr>
          <w:ilvl w:val="0"/>
          <w:numId w:val="9"/>
        </w:numPr>
        <w:spacing w:line="360" w:lineRule="auto"/>
        <w:jc w:val="both"/>
        <w:rPr>
          <w:rFonts w:ascii="Arial" w:hAnsi="Arial" w:cs="Arial"/>
          <w:bCs/>
          <w:sz w:val="24"/>
          <w:szCs w:val="24"/>
        </w:rPr>
      </w:pPr>
      <w:r>
        <w:rPr>
          <w:rFonts w:ascii="Arial" w:hAnsi="Arial" w:cs="Arial"/>
          <w:bCs/>
          <w:sz w:val="24"/>
          <w:szCs w:val="24"/>
        </w:rPr>
        <w:t>This is permissible in terms of rule 18.4 in that this may lead to a potential compromise of the tribunal and the validity of the award</w:t>
      </w:r>
    </w:p>
    <w:p w14:paraId="12745FFB" w14:textId="70B09A18" w:rsidR="004356B6" w:rsidRPr="000960B4" w:rsidRDefault="004356B6" w:rsidP="004356B6">
      <w:pPr>
        <w:spacing w:line="360" w:lineRule="auto"/>
        <w:jc w:val="both"/>
        <w:rPr>
          <w:rFonts w:ascii="Arial" w:hAnsi="Arial" w:cs="Arial"/>
          <w:bCs/>
          <w:sz w:val="24"/>
          <w:szCs w:val="24"/>
        </w:rPr>
      </w:pPr>
      <w:r w:rsidRPr="000960B4">
        <w:rPr>
          <w:rFonts w:ascii="Arial" w:hAnsi="Arial" w:cs="Arial"/>
          <w:bCs/>
          <w:sz w:val="24"/>
          <w:szCs w:val="24"/>
          <w:u w:val="single"/>
        </w:rPr>
        <w:t xml:space="preserve">Article 5.4 </w:t>
      </w:r>
    </w:p>
    <w:p w14:paraId="50254244" w14:textId="77777777" w:rsidR="004664CB" w:rsidRDefault="004356B6" w:rsidP="004356B6">
      <w:pPr>
        <w:pStyle w:val="ListParagraph"/>
        <w:numPr>
          <w:ilvl w:val="0"/>
          <w:numId w:val="10"/>
        </w:numPr>
        <w:spacing w:line="360" w:lineRule="auto"/>
        <w:jc w:val="both"/>
        <w:rPr>
          <w:rFonts w:ascii="Arial" w:hAnsi="Arial" w:cs="Arial"/>
          <w:bCs/>
          <w:sz w:val="24"/>
          <w:szCs w:val="24"/>
        </w:rPr>
      </w:pPr>
      <w:r w:rsidRPr="000960B4">
        <w:rPr>
          <w:rFonts w:ascii="Arial" w:hAnsi="Arial" w:cs="Arial"/>
          <w:bCs/>
          <w:sz w:val="24"/>
          <w:szCs w:val="24"/>
        </w:rPr>
        <w:t>Article 14.4</w:t>
      </w:r>
      <w:r w:rsidR="004664CB">
        <w:rPr>
          <w:rFonts w:ascii="Arial" w:hAnsi="Arial" w:cs="Arial"/>
          <w:bCs/>
          <w:sz w:val="24"/>
          <w:szCs w:val="24"/>
        </w:rPr>
        <w:t>(</w:t>
      </w:r>
      <w:proofErr w:type="spellStart"/>
      <w:r w:rsidR="004664CB">
        <w:rPr>
          <w:rFonts w:ascii="Arial" w:hAnsi="Arial" w:cs="Arial"/>
          <w:bCs/>
          <w:sz w:val="24"/>
          <w:szCs w:val="24"/>
        </w:rPr>
        <w:t>i</w:t>
      </w:r>
      <w:proofErr w:type="spellEnd"/>
      <w:r w:rsidR="004664CB">
        <w:rPr>
          <w:rFonts w:ascii="Arial" w:hAnsi="Arial" w:cs="Arial"/>
          <w:bCs/>
          <w:sz w:val="24"/>
          <w:szCs w:val="24"/>
        </w:rPr>
        <w:t>)</w:t>
      </w:r>
      <w:r w:rsidR="000960B4" w:rsidRPr="000960B4">
        <w:rPr>
          <w:rFonts w:ascii="Arial" w:hAnsi="Arial" w:cs="Arial"/>
          <w:bCs/>
          <w:sz w:val="24"/>
          <w:szCs w:val="24"/>
        </w:rPr>
        <w:t xml:space="preserve"> obliges the tribunal to act fairly and impartially at all times</w:t>
      </w:r>
    </w:p>
    <w:p w14:paraId="63C99A56" w14:textId="77777777" w:rsidR="004664CB" w:rsidRDefault="004664CB" w:rsidP="004356B6">
      <w:pPr>
        <w:pStyle w:val="ListParagraph"/>
        <w:numPr>
          <w:ilvl w:val="0"/>
          <w:numId w:val="10"/>
        </w:numPr>
        <w:spacing w:line="360" w:lineRule="auto"/>
        <w:jc w:val="both"/>
        <w:rPr>
          <w:rFonts w:ascii="Arial" w:hAnsi="Arial" w:cs="Arial"/>
          <w:bCs/>
          <w:sz w:val="24"/>
          <w:szCs w:val="24"/>
        </w:rPr>
      </w:pPr>
      <w:r>
        <w:rPr>
          <w:rFonts w:ascii="Arial" w:hAnsi="Arial" w:cs="Arial"/>
          <w:bCs/>
          <w:sz w:val="24"/>
          <w:szCs w:val="24"/>
        </w:rPr>
        <w:t xml:space="preserve">This obligation appears to be peremptory </w:t>
      </w:r>
    </w:p>
    <w:p w14:paraId="01BB3C86" w14:textId="77777777" w:rsidR="003500FB" w:rsidRDefault="004664CB" w:rsidP="008B3C5B">
      <w:pPr>
        <w:pStyle w:val="ListParagraph"/>
        <w:numPr>
          <w:ilvl w:val="0"/>
          <w:numId w:val="10"/>
        </w:numPr>
        <w:spacing w:line="360" w:lineRule="auto"/>
        <w:jc w:val="both"/>
        <w:rPr>
          <w:rFonts w:ascii="Arial" w:hAnsi="Arial" w:cs="Arial"/>
          <w:bCs/>
          <w:sz w:val="24"/>
          <w:szCs w:val="24"/>
        </w:rPr>
      </w:pPr>
      <w:r w:rsidRPr="003500FB">
        <w:rPr>
          <w:rFonts w:ascii="Arial" w:hAnsi="Arial" w:cs="Arial"/>
          <w:bCs/>
          <w:sz w:val="24"/>
          <w:szCs w:val="24"/>
        </w:rPr>
        <w:t xml:space="preserve">The arbitrator may not reasonably be expected to </w:t>
      </w:r>
      <w:r w:rsidR="003500FB" w:rsidRPr="003500FB">
        <w:rPr>
          <w:rFonts w:ascii="Arial" w:hAnsi="Arial" w:cs="Arial"/>
          <w:bCs/>
          <w:sz w:val="24"/>
          <w:szCs w:val="24"/>
        </w:rPr>
        <w:t>carry</w:t>
      </w:r>
      <w:r w:rsidRPr="003500FB">
        <w:rPr>
          <w:rFonts w:ascii="Arial" w:hAnsi="Arial" w:cs="Arial"/>
          <w:bCs/>
          <w:sz w:val="24"/>
          <w:szCs w:val="24"/>
        </w:rPr>
        <w:t xml:space="preserve"> out his </w:t>
      </w:r>
      <w:r w:rsidR="003500FB" w:rsidRPr="003500FB">
        <w:rPr>
          <w:rFonts w:ascii="Arial" w:hAnsi="Arial" w:cs="Arial"/>
          <w:bCs/>
          <w:sz w:val="24"/>
          <w:szCs w:val="24"/>
        </w:rPr>
        <w:t xml:space="preserve">general and special obligations if he is biased or there is no element of impartiality </w:t>
      </w:r>
    </w:p>
    <w:p w14:paraId="6995DA24" w14:textId="77777777" w:rsidR="003500FB" w:rsidRDefault="003500FB" w:rsidP="008B3C5B">
      <w:pPr>
        <w:pStyle w:val="ListParagraph"/>
        <w:numPr>
          <w:ilvl w:val="0"/>
          <w:numId w:val="10"/>
        </w:numPr>
        <w:spacing w:line="360" w:lineRule="auto"/>
        <w:jc w:val="both"/>
        <w:rPr>
          <w:rFonts w:ascii="Arial" w:hAnsi="Arial" w:cs="Arial"/>
          <w:bCs/>
          <w:sz w:val="24"/>
          <w:szCs w:val="24"/>
        </w:rPr>
      </w:pPr>
      <w:r>
        <w:rPr>
          <w:rFonts w:ascii="Arial" w:hAnsi="Arial" w:cs="Arial"/>
          <w:bCs/>
          <w:sz w:val="24"/>
          <w:szCs w:val="24"/>
        </w:rPr>
        <w:t xml:space="preserve">As demanded in </w:t>
      </w:r>
      <w:r w:rsidR="004356B6" w:rsidRPr="003500FB">
        <w:rPr>
          <w:rFonts w:ascii="Arial" w:hAnsi="Arial" w:cs="Arial"/>
          <w:bCs/>
          <w:sz w:val="24"/>
          <w:szCs w:val="24"/>
        </w:rPr>
        <w:t xml:space="preserve">Article 5.4(ii) the arbitrator must state in his declaration whether he is ready, willing and able to devote sufficient time, diligence and industry to ensure the arbitration is conducted without any undue delays. </w:t>
      </w:r>
    </w:p>
    <w:p w14:paraId="3DC600F2" w14:textId="7FE31A4D" w:rsidR="004356B6" w:rsidRPr="003500FB" w:rsidRDefault="004356B6" w:rsidP="008B3C5B">
      <w:pPr>
        <w:pStyle w:val="ListParagraph"/>
        <w:numPr>
          <w:ilvl w:val="0"/>
          <w:numId w:val="10"/>
        </w:numPr>
        <w:spacing w:line="360" w:lineRule="auto"/>
        <w:jc w:val="both"/>
        <w:rPr>
          <w:rFonts w:ascii="Arial" w:hAnsi="Arial" w:cs="Arial"/>
          <w:bCs/>
          <w:sz w:val="24"/>
          <w:szCs w:val="24"/>
        </w:rPr>
      </w:pPr>
      <w:r w:rsidRPr="003500FB">
        <w:rPr>
          <w:rFonts w:ascii="Arial" w:hAnsi="Arial" w:cs="Arial"/>
          <w:bCs/>
          <w:sz w:val="24"/>
          <w:szCs w:val="24"/>
        </w:rPr>
        <w:t xml:space="preserve">Should he </w:t>
      </w:r>
      <w:r w:rsidR="003500FB">
        <w:rPr>
          <w:rFonts w:ascii="Arial" w:hAnsi="Arial" w:cs="Arial"/>
          <w:bCs/>
          <w:sz w:val="24"/>
          <w:szCs w:val="24"/>
        </w:rPr>
        <w:t xml:space="preserve">confirm a conflict, he would not be able to </w:t>
      </w:r>
      <w:r w:rsidRPr="003500FB">
        <w:rPr>
          <w:rFonts w:ascii="Arial" w:hAnsi="Arial" w:cs="Arial"/>
          <w:bCs/>
          <w:sz w:val="24"/>
          <w:szCs w:val="24"/>
        </w:rPr>
        <w:t>comply with the provisions of Article 14 and Article 5.</w:t>
      </w:r>
    </w:p>
    <w:p w14:paraId="701F1429" w14:textId="77777777" w:rsidR="004356B6" w:rsidRPr="006A6671" w:rsidRDefault="004356B6" w:rsidP="004356B6">
      <w:pPr>
        <w:spacing w:line="360" w:lineRule="auto"/>
        <w:jc w:val="both"/>
        <w:rPr>
          <w:rFonts w:ascii="Arial" w:hAnsi="Arial" w:cs="Arial"/>
          <w:bCs/>
          <w:sz w:val="24"/>
          <w:szCs w:val="24"/>
        </w:rPr>
      </w:pPr>
      <w:r w:rsidRPr="006A6671">
        <w:rPr>
          <w:rFonts w:ascii="Arial" w:hAnsi="Arial" w:cs="Arial"/>
          <w:bCs/>
          <w:sz w:val="24"/>
          <w:szCs w:val="24"/>
          <w:u w:val="single"/>
        </w:rPr>
        <w:t>Issues to be disclosed regarding involvement in other arbitrations</w:t>
      </w:r>
    </w:p>
    <w:p w14:paraId="62091BE0" w14:textId="77777777" w:rsidR="006A6671" w:rsidRDefault="006A6671" w:rsidP="006A6671">
      <w:pPr>
        <w:pStyle w:val="ListParagraph"/>
        <w:numPr>
          <w:ilvl w:val="0"/>
          <w:numId w:val="11"/>
        </w:numPr>
        <w:spacing w:line="360" w:lineRule="auto"/>
        <w:jc w:val="both"/>
        <w:rPr>
          <w:rFonts w:ascii="Arial" w:hAnsi="Arial" w:cs="Arial"/>
          <w:bCs/>
          <w:sz w:val="24"/>
          <w:szCs w:val="24"/>
        </w:rPr>
      </w:pPr>
      <w:r>
        <w:rPr>
          <w:rFonts w:ascii="Arial" w:hAnsi="Arial" w:cs="Arial"/>
          <w:bCs/>
          <w:sz w:val="24"/>
          <w:szCs w:val="24"/>
        </w:rPr>
        <w:t>In terms of article 14(ii) the arbitral tribunal must commence and conduct its duties expeditiously</w:t>
      </w:r>
    </w:p>
    <w:p w14:paraId="2C75AFE6" w14:textId="77777777" w:rsidR="006A6671" w:rsidRDefault="004356B6" w:rsidP="006A6671">
      <w:pPr>
        <w:pStyle w:val="ListParagraph"/>
        <w:numPr>
          <w:ilvl w:val="0"/>
          <w:numId w:val="11"/>
        </w:numPr>
        <w:spacing w:line="360" w:lineRule="auto"/>
        <w:jc w:val="both"/>
        <w:rPr>
          <w:rFonts w:ascii="Arial" w:hAnsi="Arial" w:cs="Arial"/>
          <w:bCs/>
          <w:sz w:val="24"/>
          <w:szCs w:val="24"/>
        </w:rPr>
      </w:pPr>
      <w:r w:rsidRPr="006A6671">
        <w:rPr>
          <w:rFonts w:ascii="Arial" w:hAnsi="Arial" w:cs="Arial"/>
          <w:bCs/>
          <w:sz w:val="24"/>
          <w:szCs w:val="24"/>
        </w:rPr>
        <w:t xml:space="preserve">The </w:t>
      </w:r>
      <w:r w:rsidR="006A6671">
        <w:rPr>
          <w:rFonts w:ascii="Arial" w:hAnsi="Arial" w:cs="Arial"/>
          <w:bCs/>
          <w:sz w:val="24"/>
          <w:szCs w:val="24"/>
        </w:rPr>
        <w:t xml:space="preserve">tribunal is therefore obliged to declare the nature, content and extent of its involvement in other arbitrations in so far as this may impact on </w:t>
      </w:r>
    </w:p>
    <w:p w14:paraId="19F88F00" w14:textId="77777777" w:rsidR="006A6671" w:rsidRDefault="006A6671" w:rsidP="006A6671">
      <w:pPr>
        <w:pStyle w:val="ListParagraph"/>
        <w:numPr>
          <w:ilvl w:val="0"/>
          <w:numId w:val="11"/>
        </w:numPr>
        <w:spacing w:line="360" w:lineRule="auto"/>
        <w:jc w:val="both"/>
        <w:rPr>
          <w:rFonts w:ascii="Arial" w:hAnsi="Arial" w:cs="Arial"/>
          <w:bCs/>
          <w:sz w:val="24"/>
          <w:szCs w:val="24"/>
        </w:rPr>
      </w:pPr>
      <w:r>
        <w:rPr>
          <w:rFonts w:ascii="Arial" w:hAnsi="Arial" w:cs="Arial"/>
          <w:bCs/>
          <w:sz w:val="24"/>
          <w:szCs w:val="24"/>
        </w:rPr>
        <w:t>The general duties of the tribunal in its current arbitration</w:t>
      </w:r>
    </w:p>
    <w:p w14:paraId="325909B3" w14:textId="6FA03089" w:rsidR="007956DD" w:rsidRPr="006A6671" w:rsidRDefault="006A6671" w:rsidP="007F400E">
      <w:pPr>
        <w:pStyle w:val="ListParagraph"/>
        <w:numPr>
          <w:ilvl w:val="0"/>
          <w:numId w:val="11"/>
        </w:numPr>
        <w:spacing w:line="360" w:lineRule="auto"/>
        <w:jc w:val="both"/>
        <w:rPr>
          <w:rFonts w:ascii="Arial" w:hAnsi="Arial" w:cs="Arial"/>
          <w:bCs/>
          <w:sz w:val="24"/>
          <w:szCs w:val="24"/>
        </w:rPr>
      </w:pPr>
      <w:r w:rsidRPr="006A6671">
        <w:rPr>
          <w:rFonts w:ascii="Arial" w:hAnsi="Arial" w:cs="Arial"/>
          <w:bCs/>
          <w:sz w:val="24"/>
          <w:szCs w:val="24"/>
        </w:rPr>
        <w:t xml:space="preserve">If there could be a potential conflict of interest </w:t>
      </w:r>
    </w:p>
    <w:p w14:paraId="0159B32F" w14:textId="693BBB48" w:rsidR="004240EA" w:rsidRDefault="004240EA" w:rsidP="006A1065">
      <w:pPr>
        <w:spacing w:line="360" w:lineRule="auto"/>
        <w:jc w:val="both"/>
        <w:rPr>
          <w:rFonts w:ascii="Arial" w:hAnsi="Arial" w:cs="Arial"/>
          <w:b/>
          <w:bCs/>
          <w:sz w:val="24"/>
          <w:szCs w:val="24"/>
          <w:u w:val="single"/>
        </w:rPr>
      </w:pPr>
    </w:p>
    <w:p w14:paraId="338CB59D" w14:textId="38202206" w:rsidR="004240EA" w:rsidRDefault="004240EA" w:rsidP="006A1065">
      <w:pPr>
        <w:spacing w:line="360" w:lineRule="auto"/>
        <w:jc w:val="both"/>
        <w:rPr>
          <w:rFonts w:ascii="Arial" w:hAnsi="Arial" w:cs="Arial"/>
          <w:b/>
          <w:bCs/>
          <w:sz w:val="24"/>
          <w:szCs w:val="24"/>
          <w:u w:val="single"/>
        </w:rPr>
      </w:pPr>
    </w:p>
    <w:p w14:paraId="43C61FCA" w14:textId="22BE5988" w:rsidR="004240EA" w:rsidRDefault="004240EA" w:rsidP="006A1065">
      <w:pPr>
        <w:spacing w:line="360" w:lineRule="auto"/>
        <w:jc w:val="both"/>
        <w:rPr>
          <w:rFonts w:ascii="Arial" w:hAnsi="Arial" w:cs="Arial"/>
          <w:b/>
          <w:bCs/>
          <w:sz w:val="24"/>
          <w:szCs w:val="24"/>
          <w:u w:val="single"/>
        </w:rPr>
      </w:pPr>
    </w:p>
    <w:p w14:paraId="7B7D8561" w14:textId="1972C550" w:rsidR="004240EA" w:rsidRDefault="004240EA" w:rsidP="006A1065">
      <w:pPr>
        <w:spacing w:line="360" w:lineRule="auto"/>
        <w:jc w:val="both"/>
        <w:rPr>
          <w:rFonts w:ascii="Arial" w:hAnsi="Arial" w:cs="Arial"/>
          <w:b/>
          <w:bCs/>
          <w:sz w:val="24"/>
          <w:szCs w:val="24"/>
          <w:u w:val="single"/>
        </w:rPr>
      </w:pPr>
    </w:p>
    <w:p w14:paraId="2F6CD5D8" w14:textId="6B36A54C" w:rsidR="00F270CA" w:rsidRPr="00351FBE" w:rsidRDefault="00F270CA" w:rsidP="002F7310">
      <w:pPr>
        <w:spacing w:line="360" w:lineRule="auto"/>
        <w:jc w:val="both"/>
        <w:rPr>
          <w:rFonts w:ascii="Arial" w:hAnsi="Arial" w:cs="Arial"/>
          <w:b/>
          <w:bCs/>
          <w:sz w:val="24"/>
          <w:szCs w:val="24"/>
        </w:rPr>
      </w:pPr>
    </w:p>
    <w:p w14:paraId="7D54909D" w14:textId="77777777" w:rsidR="00E92A66" w:rsidRPr="00351FBE" w:rsidRDefault="00E92A66" w:rsidP="002F7310">
      <w:pPr>
        <w:spacing w:line="360" w:lineRule="auto"/>
        <w:jc w:val="both"/>
        <w:rPr>
          <w:rFonts w:ascii="Arial" w:hAnsi="Arial" w:cs="Arial"/>
          <w:b/>
          <w:bCs/>
          <w:sz w:val="24"/>
          <w:szCs w:val="24"/>
          <w:u w:val="single"/>
        </w:rPr>
      </w:pPr>
      <w:r w:rsidRPr="00351FBE">
        <w:rPr>
          <w:rFonts w:ascii="Arial" w:hAnsi="Arial" w:cs="Arial"/>
          <w:b/>
          <w:bCs/>
          <w:sz w:val="24"/>
          <w:szCs w:val="24"/>
          <w:u w:val="single"/>
        </w:rPr>
        <w:lastRenderedPageBreak/>
        <w:t>QUESTION 3</w:t>
      </w:r>
    </w:p>
    <w:p w14:paraId="66A08CB1" w14:textId="1FF502AD" w:rsidR="00C946BF" w:rsidRDefault="00C946BF" w:rsidP="00C946BF">
      <w:pPr>
        <w:pStyle w:val="ListParagraph"/>
        <w:numPr>
          <w:ilvl w:val="0"/>
          <w:numId w:val="12"/>
        </w:numPr>
        <w:spacing w:line="360" w:lineRule="auto"/>
        <w:jc w:val="both"/>
        <w:rPr>
          <w:rFonts w:ascii="Arial" w:hAnsi="Arial" w:cs="Arial"/>
          <w:bCs/>
          <w:sz w:val="24"/>
          <w:szCs w:val="24"/>
        </w:rPr>
      </w:pPr>
      <w:r w:rsidRPr="00C946BF">
        <w:rPr>
          <w:rFonts w:ascii="Arial" w:hAnsi="Arial" w:cs="Arial"/>
          <w:bCs/>
          <w:sz w:val="24"/>
          <w:szCs w:val="24"/>
        </w:rPr>
        <w:t>Th</w:t>
      </w:r>
      <w:r>
        <w:rPr>
          <w:rFonts w:ascii="Arial" w:hAnsi="Arial" w:cs="Arial"/>
          <w:bCs/>
          <w:sz w:val="24"/>
          <w:szCs w:val="24"/>
        </w:rPr>
        <w:t xml:space="preserve">is matter consists of a </w:t>
      </w:r>
      <w:r w:rsidRPr="00C946BF">
        <w:rPr>
          <w:rFonts w:ascii="Arial" w:hAnsi="Arial" w:cs="Arial"/>
          <w:bCs/>
          <w:sz w:val="24"/>
          <w:szCs w:val="24"/>
        </w:rPr>
        <w:t>two-tiered arbitration clause</w:t>
      </w:r>
    </w:p>
    <w:p w14:paraId="38074AFF" w14:textId="43513945" w:rsidR="00C946BF" w:rsidRDefault="00C946BF" w:rsidP="00C946BF">
      <w:pPr>
        <w:pStyle w:val="ListParagraph"/>
        <w:numPr>
          <w:ilvl w:val="0"/>
          <w:numId w:val="12"/>
        </w:numPr>
        <w:spacing w:line="360" w:lineRule="auto"/>
        <w:jc w:val="both"/>
        <w:rPr>
          <w:rFonts w:ascii="Arial" w:hAnsi="Arial" w:cs="Arial"/>
          <w:bCs/>
          <w:sz w:val="24"/>
          <w:szCs w:val="24"/>
        </w:rPr>
      </w:pPr>
      <w:r>
        <w:rPr>
          <w:rFonts w:ascii="Arial" w:hAnsi="Arial" w:cs="Arial"/>
          <w:bCs/>
          <w:sz w:val="24"/>
          <w:szCs w:val="24"/>
        </w:rPr>
        <w:t>The question that arises is whether or not negotiation is peremptory</w:t>
      </w:r>
      <w:r w:rsidR="00E713D1">
        <w:rPr>
          <w:rFonts w:ascii="Arial" w:hAnsi="Arial" w:cs="Arial"/>
          <w:bCs/>
          <w:sz w:val="24"/>
          <w:szCs w:val="24"/>
        </w:rPr>
        <w:t xml:space="preserve"> or a precondition</w:t>
      </w:r>
    </w:p>
    <w:p w14:paraId="3FE4B924" w14:textId="77777777" w:rsidR="00E713D1" w:rsidRDefault="00C946BF" w:rsidP="00C946BF">
      <w:pPr>
        <w:pStyle w:val="ListParagraph"/>
        <w:numPr>
          <w:ilvl w:val="0"/>
          <w:numId w:val="12"/>
        </w:numPr>
        <w:spacing w:line="360" w:lineRule="auto"/>
        <w:jc w:val="both"/>
        <w:rPr>
          <w:rFonts w:ascii="Arial" w:hAnsi="Arial" w:cs="Arial"/>
          <w:bCs/>
          <w:sz w:val="24"/>
          <w:szCs w:val="24"/>
        </w:rPr>
      </w:pPr>
      <w:r>
        <w:rPr>
          <w:rFonts w:ascii="Arial" w:hAnsi="Arial" w:cs="Arial"/>
          <w:bCs/>
          <w:sz w:val="24"/>
          <w:szCs w:val="24"/>
        </w:rPr>
        <w:t>Our courts</w:t>
      </w:r>
      <w:r>
        <w:rPr>
          <w:rStyle w:val="FootnoteReference"/>
          <w:rFonts w:ascii="Arial" w:hAnsi="Arial" w:cs="Arial"/>
          <w:bCs/>
          <w:sz w:val="24"/>
          <w:szCs w:val="24"/>
        </w:rPr>
        <w:footnoteReference w:id="3"/>
      </w:r>
      <w:r>
        <w:rPr>
          <w:rFonts w:ascii="Arial" w:hAnsi="Arial" w:cs="Arial"/>
          <w:bCs/>
          <w:sz w:val="24"/>
          <w:szCs w:val="24"/>
        </w:rPr>
        <w:t xml:space="preserve"> have </w:t>
      </w:r>
      <w:r w:rsidR="00E713D1">
        <w:rPr>
          <w:rFonts w:ascii="Arial" w:hAnsi="Arial" w:cs="Arial"/>
          <w:bCs/>
          <w:sz w:val="24"/>
          <w:szCs w:val="24"/>
        </w:rPr>
        <w:t>made differing decisions in this regard</w:t>
      </w:r>
    </w:p>
    <w:p w14:paraId="10BC0ACD" w14:textId="77777777" w:rsidR="00E713D1" w:rsidRDefault="00E713D1" w:rsidP="00650E0E">
      <w:pPr>
        <w:pStyle w:val="ListParagraph"/>
        <w:numPr>
          <w:ilvl w:val="0"/>
          <w:numId w:val="12"/>
        </w:numPr>
        <w:spacing w:line="360" w:lineRule="auto"/>
        <w:jc w:val="both"/>
        <w:rPr>
          <w:rFonts w:ascii="Arial" w:hAnsi="Arial" w:cs="Arial"/>
          <w:bCs/>
          <w:sz w:val="24"/>
          <w:szCs w:val="24"/>
        </w:rPr>
      </w:pPr>
      <w:r w:rsidRPr="00E713D1">
        <w:rPr>
          <w:rFonts w:ascii="Arial" w:hAnsi="Arial" w:cs="Arial"/>
          <w:bCs/>
          <w:sz w:val="24"/>
          <w:szCs w:val="24"/>
        </w:rPr>
        <w:t xml:space="preserve">In </w:t>
      </w:r>
      <w:r w:rsidRPr="00E713D1">
        <w:rPr>
          <w:rFonts w:ascii="Arial" w:hAnsi="Arial" w:cs="Arial"/>
          <w:bCs/>
          <w:sz w:val="24"/>
          <w:szCs w:val="24"/>
        </w:rPr>
        <w:t>Paul Smith Ltd v H &amp; S International Holdings</w:t>
      </w:r>
      <w:r w:rsidR="00C946BF" w:rsidRPr="00E713D1">
        <w:rPr>
          <w:rFonts w:ascii="Arial" w:hAnsi="Arial" w:cs="Arial"/>
          <w:bCs/>
          <w:sz w:val="24"/>
          <w:szCs w:val="24"/>
        </w:rPr>
        <w:t xml:space="preserve"> </w:t>
      </w:r>
      <w:r w:rsidRPr="00E713D1">
        <w:rPr>
          <w:rFonts w:ascii="Arial" w:hAnsi="Arial" w:cs="Arial"/>
          <w:bCs/>
          <w:sz w:val="24"/>
          <w:szCs w:val="24"/>
        </w:rPr>
        <w:t>the</w:t>
      </w:r>
      <w:r w:rsidR="00C946BF" w:rsidRPr="00E713D1">
        <w:rPr>
          <w:rFonts w:ascii="Arial" w:hAnsi="Arial" w:cs="Arial"/>
          <w:bCs/>
          <w:sz w:val="24"/>
          <w:szCs w:val="24"/>
        </w:rPr>
        <w:t xml:space="preserve"> Court </w:t>
      </w:r>
      <w:r>
        <w:rPr>
          <w:rFonts w:ascii="Arial" w:hAnsi="Arial" w:cs="Arial"/>
          <w:bCs/>
          <w:sz w:val="24"/>
          <w:szCs w:val="24"/>
        </w:rPr>
        <w:t>held that a condition to conciliate is not peremptory</w:t>
      </w:r>
    </w:p>
    <w:p w14:paraId="067AFB45" w14:textId="1E0EE4DC" w:rsidR="00C946BF" w:rsidRDefault="00C946BF" w:rsidP="00650E0E">
      <w:pPr>
        <w:pStyle w:val="ListParagraph"/>
        <w:numPr>
          <w:ilvl w:val="0"/>
          <w:numId w:val="12"/>
        </w:numPr>
        <w:spacing w:line="360" w:lineRule="auto"/>
        <w:jc w:val="both"/>
        <w:rPr>
          <w:rFonts w:ascii="Arial" w:hAnsi="Arial" w:cs="Arial"/>
          <w:bCs/>
          <w:sz w:val="24"/>
          <w:szCs w:val="24"/>
        </w:rPr>
      </w:pPr>
      <w:r w:rsidRPr="00E713D1">
        <w:rPr>
          <w:rFonts w:ascii="Arial" w:hAnsi="Arial" w:cs="Arial"/>
          <w:bCs/>
          <w:sz w:val="24"/>
          <w:szCs w:val="24"/>
        </w:rPr>
        <w:t xml:space="preserve">The Court referred to the case of </w:t>
      </w:r>
      <w:bookmarkStart w:id="2" w:name="_Hlk51865720"/>
      <w:r w:rsidRPr="00E713D1">
        <w:rPr>
          <w:rFonts w:ascii="Arial" w:hAnsi="Arial" w:cs="Arial"/>
          <w:bCs/>
          <w:i/>
          <w:iCs/>
          <w:sz w:val="24"/>
          <w:szCs w:val="24"/>
        </w:rPr>
        <w:t xml:space="preserve">Courtney and Fairbairn v </w:t>
      </w:r>
      <w:proofErr w:type="spellStart"/>
      <w:r w:rsidRPr="00E713D1">
        <w:rPr>
          <w:rFonts w:ascii="Arial" w:hAnsi="Arial" w:cs="Arial"/>
          <w:bCs/>
          <w:i/>
          <w:iCs/>
          <w:sz w:val="24"/>
          <w:szCs w:val="24"/>
        </w:rPr>
        <w:t>Tolaini</w:t>
      </w:r>
      <w:proofErr w:type="spellEnd"/>
      <w:r w:rsidRPr="00E713D1">
        <w:rPr>
          <w:rFonts w:ascii="Arial" w:hAnsi="Arial" w:cs="Arial"/>
          <w:bCs/>
          <w:i/>
          <w:iCs/>
          <w:sz w:val="24"/>
          <w:szCs w:val="24"/>
        </w:rPr>
        <w:t xml:space="preserve"> Brothers (Hotels) Ltd</w:t>
      </w:r>
      <w:r>
        <w:rPr>
          <w:rStyle w:val="FootnoteReference"/>
          <w:rFonts w:ascii="Arial" w:hAnsi="Arial" w:cs="Arial"/>
          <w:bCs/>
          <w:i/>
          <w:iCs/>
          <w:sz w:val="24"/>
          <w:szCs w:val="24"/>
        </w:rPr>
        <w:footnoteReference w:id="4"/>
      </w:r>
      <w:bookmarkEnd w:id="2"/>
      <w:r w:rsidRPr="00E713D1">
        <w:rPr>
          <w:rFonts w:ascii="Arial" w:hAnsi="Arial" w:cs="Arial"/>
          <w:bCs/>
          <w:sz w:val="24"/>
          <w:szCs w:val="24"/>
        </w:rPr>
        <w:t xml:space="preserve"> in which it was held that an agreement that a dispute will be subjected to negotiation between the parties will not be recognised and enforced by a court as such an uncertainty does not have any binding force.</w:t>
      </w:r>
    </w:p>
    <w:p w14:paraId="3C6E88C4" w14:textId="73B9D60E" w:rsidR="00E713D1" w:rsidRDefault="00E713D1" w:rsidP="00650E0E">
      <w:pPr>
        <w:pStyle w:val="ListParagraph"/>
        <w:numPr>
          <w:ilvl w:val="0"/>
          <w:numId w:val="12"/>
        </w:numPr>
        <w:spacing w:line="360" w:lineRule="auto"/>
        <w:jc w:val="both"/>
        <w:rPr>
          <w:rFonts w:ascii="Arial" w:hAnsi="Arial" w:cs="Arial"/>
          <w:bCs/>
          <w:sz w:val="24"/>
          <w:szCs w:val="24"/>
        </w:rPr>
      </w:pPr>
      <w:r>
        <w:rPr>
          <w:rFonts w:ascii="Arial" w:hAnsi="Arial" w:cs="Arial"/>
          <w:bCs/>
          <w:sz w:val="24"/>
          <w:szCs w:val="24"/>
        </w:rPr>
        <w:t xml:space="preserve">In an English matter namely, the </w:t>
      </w:r>
      <w:r w:rsidRPr="00E713D1">
        <w:rPr>
          <w:rFonts w:ascii="Arial" w:hAnsi="Arial" w:cs="Arial"/>
          <w:bCs/>
          <w:i/>
          <w:iCs/>
          <w:sz w:val="24"/>
          <w:szCs w:val="24"/>
        </w:rPr>
        <w:t xml:space="preserve">Emirates Trading Agency </w:t>
      </w:r>
      <w:proofErr w:type="spellStart"/>
      <w:r w:rsidRPr="00E713D1">
        <w:rPr>
          <w:rFonts w:ascii="Arial" w:hAnsi="Arial" w:cs="Arial"/>
          <w:bCs/>
          <w:i/>
          <w:iCs/>
          <w:sz w:val="24"/>
          <w:szCs w:val="24"/>
        </w:rPr>
        <w:t>Llc</w:t>
      </w:r>
      <w:proofErr w:type="spellEnd"/>
      <w:r w:rsidRPr="00E713D1">
        <w:rPr>
          <w:rFonts w:ascii="Arial" w:hAnsi="Arial" w:cs="Arial"/>
          <w:bCs/>
          <w:i/>
          <w:iCs/>
          <w:sz w:val="24"/>
          <w:szCs w:val="24"/>
        </w:rPr>
        <w:t xml:space="preserve"> v Prime Mineral Exports Private Ltd</w:t>
      </w:r>
      <w:r>
        <w:rPr>
          <w:rFonts w:ascii="Arial" w:hAnsi="Arial" w:cs="Arial"/>
          <w:bCs/>
          <w:sz w:val="24"/>
          <w:szCs w:val="24"/>
        </w:rPr>
        <w:t xml:space="preserve"> the court held that a condition to negotiate was an enforceable precondition</w:t>
      </w:r>
    </w:p>
    <w:p w14:paraId="3B55D172" w14:textId="5CF0E830" w:rsidR="00E713D1" w:rsidRDefault="00E713D1" w:rsidP="00650E0E">
      <w:pPr>
        <w:pStyle w:val="ListParagraph"/>
        <w:numPr>
          <w:ilvl w:val="0"/>
          <w:numId w:val="12"/>
        </w:numPr>
        <w:spacing w:line="360" w:lineRule="auto"/>
        <w:jc w:val="both"/>
        <w:rPr>
          <w:rFonts w:ascii="Arial" w:hAnsi="Arial" w:cs="Arial"/>
          <w:bCs/>
          <w:sz w:val="24"/>
          <w:szCs w:val="24"/>
        </w:rPr>
      </w:pPr>
      <w:r>
        <w:rPr>
          <w:rFonts w:ascii="Arial" w:hAnsi="Arial" w:cs="Arial"/>
          <w:bCs/>
          <w:sz w:val="24"/>
          <w:szCs w:val="24"/>
        </w:rPr>
        <w:t>In this respect, the implication for the arbitral tribunal is that it does not have jurisdiction</w:t>
      </w:r>
      <w:r w:rsidR="000B52ED">
        <w:rPr>
          <w:rFonts w:ascii="Arial" w:hAnsi="Arial" w:cs="Arial"/>
          <w:bCs/>
          <w:sz w:val="24"/>
          <w:szCs w:val="24"/>
        </w:rPr>
        <w:t xml:space="preserve"> to determine the matter</w:t>
      </w:r>
    </w:p>
    <w:p w14:paraId="21086C61" w14:textId="2053B602" w:rsidR="000B52ED" w:rsidRDefault="000B52ED" w:rsidP="00650E0E">
      <w:pPr>
        <w:pStyle w:val="ListParagraph"/>
        <w:numPr>
          <w:ilvl w:val="0"/>
          <w:numId w:val="12"/>
        </w:numPr>
        <w:spacing w:line="360" w:lineRule="auto"/>
        <w:jc w:val="both"/>
        <w:rPr>
          <w:rFonts w:ascii="Arial" w:hAnsi="Arial" w:cs="Arial"/>
          <w:bCs/>
          <w:sz w:val="24"/>
          <w:szCs w:val="24"/>
        </w:rPr>
      </w:pPr>
      <w:r>
        <w:rPr>
          <w:rFonts w:ascii="Arial" w:hAnsi="Arial" w:cs="Arial"/>
          <w:bCs/>
          <w:sz w:val="24"/>
          <w:szCs w:val="24"/>
        </w:rPr>
        <w:t>The tribunal may therefore order that the matter be referred to negotiation failing which arbitration proceedings may proceed</w:t>
      </w:r>
    </w:p>
    <w:p w14:paraId="3EE3E81C" w14:textId="77777777" w:rsidR="004A043C" w:rsidRDefault="000B52ED" w:rsidP="00C946BF">
      <w:pPr>
        <w:pStyle w:val="ListParagraph"/>
        <w:numPr>
          <w:ilvl w:val="0"/>
          <w:numId w:val="12"/>
        </w:numPr>
        <w:spacing w:line="360" w:lineRule="auto"/>
        <w:jc w:val="both"/>
        <w:rPr>
          <w:rFonts w:ascii="Arial" w:hAnsi="Arial" w:cs="Arial"/>
          <w:bCs/>
          <w:sz w:val="24"/>
          <w:szCs w:val="24"/>
        </w:rPr>
      </w:pPr>
      <w:r>
        <w:rPr>
          <w:rFonts w:ascii="Arial" w:hAnsi="Arial" w:cs="Arial"/>
          <w:bCs/>
          <w:sz w:val="24"/>
          <w:szCs w:val="24"/>
        </w:rPr>
        <w:t>Alternatively, the tribunal may determine from the facts whether this precondition has been met, a situation which may lead to the commencement of the arbitration proceedings</w:t>
      </w:r>
    </w:p>
    <w:p w14:paraId="3A68ABD7" w14:textId="6278061A" w:rsidR="004A043C" w:rsidRDefault="004A043C" w:rsidP="00C946BF">
      <w:pPr>
        <w:pStyle w:val="ListParagraph"/>
        <w:numPr>
          <w:ilvl w:val="0"/>
          <w:numId w:val="12"/>
        </w:numPr>
        <w:spacing w:line="360" w:lineRule="auto"/>
        <w:jc w:val="both"/>
        <w:rPr>
          <w:rFonts w:ascii="Arial" w:hAnsi="Arial" w:cs="Arial"/>
          <w:bCs/>
          <w:sz w:val="24"/>
          <w:szCs w:val="24"/>
        </w:rPr>
      </w:pPr>
      <w:r>
        <w:rPr>
          <w:rFonts w:ascii="Arial" w:hAnsi="Arial" w:cs="Arial"/>
          <w:bCs/>
          <w:sz w:val="24"/>
          <w:szCs w:val="24"/>
        </w:rPr>
        <w:t>In my view the award may be challenged in terms of Article 34 on the grounds of public policy considerations provided that the courts have established that two-tiered dispute resolutions contain peremptory conditions</w:t>
      </w:r>
    </w:p>
    <w:p w14:paraId="154CC35A" w14:textId="77777777" w:rsidR="004A043C" w:rsidRDefault="004A043C" w:rsidP="00C946BF">
      <w:pPr>
        <w:pStyle w:val="ListParagraph"/>
        <w:numPr>
          <w:ilvl w:val="0"/>
          <w:numId w:val="12"/>
        </w:numPr>
        <w:spacing w:line="360" w:lineRule="auto"/>
        <w:jc w:val="both"/>
        <w:rPr>
          <w:rFonts w:ascii="Arial" w:hAnsi="Arial" w:cs="Arial"/>
          <w:bCs/>
          <w:sz w:val="24"/>
          <w:szCs w:val="24"/>
        </w:rPr>
      </w:pPr>
      <w:r>
        <w:rPr>
          <w:rFonts w:ascii="Arial" w:hAnsi="Arial" w:cs="Arial"/>
          <w:bCs/>
          <w:sz w:val="24"/>
          <w:szCs w:val="24"/>
        </w:rPr>
        <w:t>Alternatively, one may argue that the</w:t>
      </w:r>
      <w:r w:rsidR="00C946BF" w:rsidRPr="004A043C">
        <w:rPr>
          <w:rFonts w:ascii="Arial" w:hAnsi="Arial" w:cs="Arial"/>
          <w:bCs/>
          <w:sz w:val="24"/>
          <w:szCs w:val="24"/>
        </w:rPr>
        <w:t xml:space="preserve"> award cannot be challenged </w:t>
      </w:r>
      <w:r>
        <w:rPr>
          <w:rFonts w:ascii="Arial" w:hAnsi="Arial" w:cs="Arial"/>
          <w:bCs/>
          <w:sz w:val="24"/>
          <w:szCs w:val="24"/>
        </w:rPr>
        <w:t xml:space="preserve">in that the aspect of negotiation is a </w:t>
      </w:r>
      <w:r w:rsidR="00C946BF" w:rsidRPr="004A043C">
        <w:rPr>
          <w:rFonts w:ascii="Arial" w:hAnsi="Arial" w:cs="Arial"/>
          <w:bCs/>
          <w:sz w:val="24"/>
          <w:szCs w:val="24"/>
        </w:rPr>
        <w:t xml:space="preserve">procedural matter that should be determined by the tribunal and not by the court. </w:t>
      </w:r>
    </w:p>
    <w:p w14:paraId="3909F39F" w14:textId="77777777" w:rsidR="004A043C" w:rsidRDefault="00C946BF" w:rsidP="00C946BF">
      <w:pPr>
        <w:pStyle w:val="ListParagraph"/>
        <w:numPr>
          <w:ilvl w:val="0"/>
          <w:numId w:val="12"/>
        </w:numPr>
        <w:spacing w:line="360" w:lineRule="auto"/>
        <w:jc w:val="both"/>
        <w:rPr>
          <w:rFonts w:ascii="Arial" w:hAnsi="Arial" w:cs="Arial"/>
          <w:bCs/>
          <w:sz w:val="24"/>
          <w:szCs w:val="24"/>
        </w:rPr>
      </w:pPr>
      <w:r w:rsidRPr="004A043C">
        <w:rPr>
          <w:rFonts w:ascii="Arial" w:hAnsi="Arial" w:cs="Arial"/>
          <w:bCs/>
          <w:sz w:val="24"/>
          <w:szCs w:val="24"/>
        </w:rPr>
        <w:t xml:space="preserve">An incorrect decision on this issue by the tribunal is not a reviewable irregularity and a court will not be entitled to determine such a matter. </w:t>
      </w:r>
    </w:p>
    <w:p w14:paraId="1F03FFFE" w14:textId="77777777" w:rsidR="004A043C" w:rsidRDefault="00C946BF" w:rsidP="00C946BF">
      <w:pPr>
        <w:pStyle w:val="ListParagraph"/>
        <w:numPr>
          <w:ilvl w:val="0"/>
          <w:numId w:val="12"/>
        </w:numPr>
        <w:spacing w:line="360" w:lineRule="auto"/>
        <w:jc w:val="both"/>
        <w:rPr>
          <w:rFonts w:ascii="Arial" w:hAnsi="Arial" w:cs="Arial"/>
          <w:bCs/>
          <w:sz w:val="24"/>
          <w:szCs w:val="24"/>
        </w:rPr>
      </w:pPr>
      <w:r w:rsidRPr="004A043C">
        <w:rPr>
          <w:rFonts w:ascii="Arial" w:hAnsi="Arial" w:cs="Arial"/>
          <w:bCs/>
          <w:sz w:val="24"/>
          <w:szCs w:val="24"/>
        </w:rPr>
        <w:lastRenderedPageBreak/>
        <w:t>The fact that the decision by the arbitrator is not reviewable in terms of Article 34 avoids wasted time and costs</w:t>
      </w:r>
    </w:p>
    <w:p w14:paraId="25124037" w14:textId="5462FD23" w:rsidR="00C946BF" w:rsidRDefault="004A043C" w:rsidP="00C946BF">
      <w:pPr>
        <w:pStyle w:val="ListParagraph"/>
        <w:numPr>
          <w:ilvl w:val="0"/>
          <w:numId w:val="12"/>
        </w:numPr>
        <w:spacing w:line="360" w:lineRule="auto"/>
        <w:jc w:val="both"/>
        <w:rPr>
          <w:rFonts w:ascii="Arial" w:hAnsi="Arial" w:cs="Arial"/>
          <w:bCs/>
          <w:sz w:val="24"/>
          <w:szCs w:val="24"/>
        </w:rPr>
      </w:pPr>
      <w:r>
        <w:rPr>
          <w:rFonts w:ascii="Arial" w:hAnsi="Arial" w:cs="Arial"/>
          <w:bCs/>
          <w:sz w:val="24"/>
          <w:szCs w:val="24"/>
        </w:rPr>
        <w:t>In my view, t</w:t>
      </w:r>
      <w:r w:rsidR="00C946BF" w:rsidRPr="004A043C">
        <w:rPr>
          <w:rFonts w:ascii="Arial" w:hAnsi="Arial" w:cs="Arial"/>
          <w:bCs/>
          <w:sz w:val="24"/>
          <w:szCs w:val="24"/>
        </w:rPr>
        <w:t>his in turn supports the object of arbitration which is the expeditious and cost-effective resolution of disputes.</w:t>
      </w:r>
    </w:p>
    <w:p w14:paraId="74960DB0" w14:textId="77777777" w:rsidR="004A043C" w:rsidRPr="004A043C" w:rsidRDefault="004A043C" w:rsidP="004A043C">
      <w:pPr>
        <w:pStyle w:val="ListParagraph"/>
        <w:spacing w:line="360" w:lineRule="auto"/>
        <w:ind w:left="644"/>
        <w:jc w:val="both"/>
        <w:rPr>
          <w:rFonts w:ascii="Arial" w:hAnsi="Arial" w:cs="Arial"/>
          <w:bCs/>
          <w:sz w:val="24"/>
          <w:szCs w:val="24"/>
        </w:rPr>
      </w:pPr>
    </w:p>
    <w:p w14:paraId="7A81F48F" w14:textId="77777777" w:rsidR="005D230C" w:rsidRDefault="005D230C" w:rsidP="005D230C">
      <w:pPr>
        <w:spacing w:line="360" w:lineRule="auto"/>
        <w:jc w:val="both"/>
        <w:rPr>
          <w:rFonts w:ascii="Arial" w:hAnsi="Arial" w:cs="Arial"/>
          <w:bCs/>
          <w:sz w:val="24"/>
          <w:szCs w:val="24"/>
        </w:rPr>
      </w:pPr>
      <w:r>
        <w:rPr>
          <w:rFonts w:ascii="Arial" w:hAnsi="Arial" w:cs="Arial"/>
          <w:b/>
          <w:sz w:val="24"/>
          <w:szCs w:val="24"/>
          <w:u w:val="single"/>
        </w:rPr>
        <w:t>QUESTION 4</w:t>
      </w:r>
    </w:p>
    <w:p w14:paraId="65BCE347" w14:textId="77777777" w:rsidR="004A043C" w:rsidRDefault="004A043C" w:rsidP="005D230C">
      <w:pPr>
        <w:pStyle w:val="ListParagraph"/>
        <w:numPr>
          <w:ilvl w:val="0"/>
          <w:numId w:val="14"/>
        </w:numPr>
        <w:spacing w:line="360" w:lineRule="auto"/>
        <w:jc w:val="both"/>
        <w:rPr>
          <w:rFonts w:ascii="Arial" w:hAnsi="Arial" w:cs="Arial"/>
          <w:bCs/>
          <w:sz w:val="24"/>
          <w:szCs w:val="24"/>
        </w:rPr>
      </w:pPr>
      <w:r>
        <w:rPr>
          <w:rFonts w:ascii="Arial" w:hAnsi="Arial" w:cs="Arial"/>
          <w:bCs/>
          <w:sz w:val="24"/>
          <w:szCs w:val="24"/>
        </w:rPr>
        <w:t>In terms of a</w:t>
      </w:r>
      <w:r w:rsidR="005D230C" w:rsidRPr="004A043C">
        <w:rPr>
          <w:rFonts w:ascii="Arial" w:hAnsi="Arial" w:cs="Arial"/>
          <w:bCs/>
          <w:sz w:val="24"/>
          <w:szCs w:val="24"/>
        </w:rPr>
        <w:t>rticle 30 of the LCIA Rules</w:t>
      </w:r>
      <w:r>
        <w:rPr>
          <w:rFonts w:ascii="Arial" w:hAnsi="Arial" w:cs="Arial"/>
          <w:bCs/>
          <w:sz w:val="24"/>
          <w:szCs w:val="24"/>
        </w:rPr>
        <w:t>, the</w:t>
      </w:r>
      <w:r w:rsidR="005D230C" w:rsidRPr="004A043C">
        <w:rPr>
          <w:rFonts w:ascii="Arial" w:hAnsi="Arial" w:cs="Arial"/>
          <w:bCs/>
          <w:sz w:val="24"/>
          <w:szCs w:val="24"/>
        </w:rPr>
        <w:t xml:space="preserve"> parties </w:t>
      </w:r>
      <w:r>
        <w:rPr>
          <w:rFonts w:ascii="Arial" w:hAnsi="Arial" w:cs="Arial"/>
          <w:bCs/>
          <w:sz w:val="24"/>
          <w:szCs w:val="24"/>
        </w:rPr>
        <w:t xml:space="preserve">to an arbitration agree that </w:t>
      </w:r>
      <w:r w:rsidR="005D230C" w:rsidRPr="004A043C">
        <w:rPr>
          <w:rFonts w:ascii="Arial" w:hAnsi="Arial" w:cs="Arial"/>
          <w:bCs/>
          <w:sz w:val="24"/>
          <w:szCs w:val="24"/>
        </w:rPr>
        <w:t xml:space="preserve">all </w:t>
      </w:r>
      <w:r>
        <w:rPr>
          <w:rFonts w:ascii="Arial" w:hAnsi="Arial" w:cs="Arial"/>
          <w:bCs/>
          <w:sz w:val="24"/>
          <w:szCs w:val="24"/>
        </w:rPr>
        <w:t xml:space="preserve">proceedings will be </w:t>
      </w:r>
      <w:r w:rsidR="005D230C" w:rsidRPr="004A043C">
        <w:rPr>
          <w:rFonts w:ascii="Arial" w:hAnsi="Arial" w:cs="Arial"/>
          <w:bCs/>
          <w:sz w:val="24"/>
          <w:szCs w:val="24"/>
        </w:rPr>
        <w:t>confidential</w:t>
      </w:r>
    </w:p>
    <w:p w14:paraId="1E0F0227" w14:textId="77777777" w:rsidR="004A043C" w:rsidRDefault="004A043C" w:rsidP="005D230C">
      <w:pPr>
        <w:pStyle w:val="ListParagraph"/>
        <w:numPr>
          <w:ilvl w:val="0"/>
          <w:numId w:val="14"/>
        </w:numPr>
        <w:spacing w:line="360" w:lineRule="auto"/>
        <w:jc w:val="both"/>
        <w:rPr>
          <w:rFonts w:ascii="Arial" w:hAnsi="Arial" w:cs="Arial"/>
          <w:bCs/>
          <w:sz w:val="24"/>
          <w:szCs w:val="24"/>
        </w:rPr>
      </w:pPr>
      <w:r>
        <w:rPr>
          <w:rFonts w:ascii="Arial" w:hAnsi="Arial" w:cs="Arial"/>
          <w:bCs/>
          <w:sz w:val="24"/>
          <w:szCs w:val="24"/>
        </w:rPr>
        <w:t>This applies to private parties</w:t>
      </w:r>
    </w:p>
    <w:p w14:paraId="061C0F39" w14:textId="77777777" w:rsidR="004A043C" w:rsidRDefault="004A043C" w:rsidP="005D230C">
      <w:pPr>
        <w:pStyle w:val="ListParagraph"/>
        <w:numPr>
          <w:ilvl w:val="0"/>
          <w:numId w:val="14"/>
        </w:numPr>
        <w:spacing w:line="360" w:lineRule="auto"/>
        <w:jc w:val="both"/>
        <w:rPr>
          <w:rFonts w:ascii="Arial" w:hAnsi="Arial" w:cs="Arial"/>
          <w:bCs/>
          <w:sz w:val="24"/>
          <w:szCs w:val="24"/>
        </w:rPr>
      </w:pPr>
      <w:r>
        <w:rPr>
          <w:rFonts w:ascii="Arial" w:hAnsi="Arial" w:cs="Arial"/>
          <w:bCs/>
          <w:sz w:val="24"/>
          <w:szCs w:val="24"/>
        </w:rPr>
        <w:t>Where a public body is involved, s</w:t>
      </w:r>
      <w:r w:rsidR="005D230C" w:rsidRPr="004A043C">
        <w:rPr>
          <w:rFonts w:ascii="Arial" w:hAnsi="Arial" w:cs="Arial"/>
          <w:bCs/>
          <w:sz w:val="24"/>
          <w:szCs w:val="24"/>
        </w:rPr>
        <w:t xml:space="preserve">ection 11 (1) of the International Arbitration Act 15 of 2017 provides that </w:t>
      </w:r>
      <w:r>
        <w:rPr>
          <w:rFonts w:ascii="Arial" w:hAnsi="Arial" w:cs="Arial"/>
          <w:bCs/>
          <w:sz w:val="24"/>
          <w:szCs w:val="24"/>
        </w:rPr>
        <w:t>proceedings must be held in public</w:t>
      </w:r>
    </w:p>
    <w:p w14:paraId="792C248D" w14:textId="1AABAAB1" w:rsidR="004A043C" w:rsidRDefault="004A043C" w:rsidP="005D230C">
      <w:pPr>
        <w:pStyle w:val="ListParagraph"/>
        <w:numPr>
          <w:ilvl w:val="0"/>
          <w:numId w:val="14"/>
        </w:numPr>
        <w:spacing w:line="360" w:lineRule="auto"/>
        <w:jc w:val="both"/>
        <w:rPr>
          <w:rFonts w:ascii="Arial" w:hAnsi="Arial" w:cs="Arial"/>
          <w:bCs/>
          <w:sz w:val="24"/>
          <w:szCs w:val="24"/>
        </w:rPr>
      </w:pPr>
      <w:r>
        <w:rPr>
          <w:rFonts w:ascii="Arial" w:hAnsi="Arial" w:cs="Arial"/>
          <w:bCs/>
          <w:sz w:val="24"/>
          <w:szCs w:val="24"/>
        </w:rPr>
        <w:t xml:space="preserve">This is subject to </w:t>
      </w:r>
      <w:r w:rsidR="005D230C" w:rsidRPr="004A043C">
        <w:rPr>
          <w:rFonts w:ascii="Arial" w:hAnsi="Arial" w:cs="Arial"/>
          <w:bCs/>
          <w:sz w:val="24"/>
          <w:szCs w:val="24"/>
        </w:rPr>
        <w:t xml:space="preserve">compelling reasons for the tribunal to direct </w:t>
      </w:r>
      <w:r>
        <w:rPr>
          <w:rFonts w:ascii="Arial" w:hAnsi="Arial" w:cs="Arial"/>
          <w:bCs/>
          <w:sz w:val="24"/>
          <w:szCs w:val="24"/>
        </w:rPr>
        <w:t>that proceedings be held in private</w:t>
      </w:r>
    </w:p>
    <w:p w14:paraId="2A893197" w14:textId="77777777" w:rsidR="004A043C" w:rsidRDefault="004A043C" w:rsidP="002A738B">
      <w:pPr>
        <w:pStyle w:val="ListParagraph"/>
        <w:numPr>
          <w:ilvl w:val="0"/>
          <w:numId w:val="14"/>
        </w:numPr>
        <w:spacing w:line="360" w:lineRule="auto"/>
        <w:jc w:val="both"/>
        <w:rPr>
          <w:rFonts w:ascii="Arial" w:hAnsi="Arial" w:cs="Arial"/>
          <w:bCs/>
          <w:sz w:val="24"/>
          <w:szCs w:val="24"/>
        </w:rPr>
      </w:pPr>
      <w:r>
        <w:rPr>
          <w:rFonts w:ascii="Arial" w:hAnsi="Arial" w:cs="Arial"/>
          <w:bCs/>
          <w:sz w:val="24"/>
          <w:szCs w:val="24"/>
        </w:rPr>
        <w:t>As a result, such proceedings will be available to the public</w:t>
      </w:r>
    </w:p>
    <w:p w14:paraId="20BD6773" w14:textId="77777777" w:rsidR="00AE7D64" w:rsidRDefault="00AE7D64" w:rsidP="002A738B">
      <w:pPr>
        <w:pStyle w:val="ListParagraph"/>
        <w:numPr>
          <w:ilvl w:val="0"/>
          <w:numId w:val="14"/>
        </w:numPr>
        <w:spacing w:line="360" w:lineRule="auto"/>
        <w:jc w:val="both"/>
        <w:rPr>
          <w:rFonts w:ascii="Arial" w:hAnsi="Arial" w:cs="Arial"/>
          <w:bCs/>
          <w:sz w:val="24"/>
          <w:szCs w:val="24"/>
        </w:rPr>
      </w:pPr>
      <w:r>
        <w:rPr>
          <w:rFonts w:ascii="Arial" w:hAnsi="Arial" w:cs="Arial"/>
          <w:bCs/>
          <w:sz w:val="24"/>
          <w:szCs w:val="24"/>
        </w:rPr>
        <w:t xml:space="preserve">Should there be a request for information, this must be directed at the </w:t>
      </w:r>
      <w:r w:rsidR="005D230C" w:rsidRPr="004A043C">
        <w:rPr>
          <w:rFonts w:ascii="Arial" w:hAnsi="Arial" w:cs="Arial"/>
          <w:bCs/>
          <w:sz w:val="24"/>
          <w:szCs w:val="24"/>
        </w:rPr>
        <w:t>tribunal.</w:t>
      </w:r>
    </w:p>
    <w:p w14:paraId="4AF4BA07" w14:textId="77777777" w:rsidR="00AE7D64" w:rsidRDefault="00AE7D64" w:rsidP="002A738B">
      <w:pPr>
        <w:pStyle w:val="ListParagraph"/>
        <w:numPr>
          <w:ilvl w:val="0"/>
          <w:numId w:val="14"/>
        </w:numPr>
        <w:spacing w:line="360" w:lineRule="auto"/>
        <w:jc w:val="both"/>
        <w:rPr>
          <w:rFonts w:ascii="Arial" w:hAnsi="Arial" w:cs="Arial"/>
          <w:bCs/>
          <w:sz w:val="24"/>
          <w:szCs w:val="24"/>
        </w:rPr>
      </w:pPr>
      <w:r>
        <w:rPr>
          <w:rFonts w:ascii="Arial" w:hAnsi="Arial" w:cs="Arial"/>
          <w:bCs/>
          <w:sz w:val="24"/>
          <w:szCs w:val="24"/>
        </w:rPr>
        <w:t>This may be deferred to court</w:t>
      </w:r>
    </w:p>
    <w:p w14:paraId="52B22E07" w14:textId="77777777" w:rsidR="00456A49" w:rsidRDefault="00456A49" w:rsidP="002A738B">
      <w:pPr>
        <w:pStyle w:val="ListParagraph"/>
        <w:numPr>
          <w:ilvl w:val="0"/>
          <w:numId w:val="14"/>
        </w:numPr>
        <w:spacing w:line="360" w:lineRule="auto"/>
        <w:jc w:val="both"/>
        <w:rPr>
          <w:rFonts w:ascii="Arial" w:hAnsi="Arial" w:cs="Arial"/>
          <w:bCs/>
          <w:sz w:val="24"/>
          <w:szCs w:val="24"/>
        </w:rPr>
      </w:pPr>
      <w:r>
        <w:rPr>
          <w:rFonts w:ascii="Arial" w:hAnsi="Arial" w:cs="Arial"/>
          <w:bCs/>
          <w:sz w:val="24"/>
          <w:szCs w:val="24"/>
        </w:rPr>
        <w:t>That’s said, private arbitrations and public or quasi-public arbitrations are subject to the Constitution of the republic</w:t>
      </w:r>
    </w:p>
    <w:p w14:paraId="16E7573B" w14:textId="581E0EFB" w:rsidR="00456A49" w:rsidRDefault="00456A49" w:rsidP="002A738B">
      <w:pPr>
        <w:pStyle w:val="ListParagraph"/>
        <w:numPr>
          <w:ilvl w:val="0"/>
          <w:numId w:val="14"/>
        </w:numPr>
        <w:spacing w:line="360" w:lineRule="auto"/>
        <w:jc w:val="both"/>
        <w:rPr>
          <w:rFonts w:ascii="Arial" w:hAnsi="Arial" w:cs="Arial"/>
          <w:bCs/>
          <w:sz w:val="24"/>
          <w:szCs w:val="24"/>
        </w:rPr>
      </w:pPr>
      <w:r>
        <w:rPr>
          <w:rFonts w:ascii="Arial" w:hAnsi="Arial" w:cs="Arial"/>
          <w:bCs/>
          <w:sz w:val="24"/>
          <w:szCs w:val="24"/>
        </w:rPr>
        <w:t>In terms of section 32, anyone has a right to information held by the state or another person that is required for the enforcement of or exercise of a right</w:t>
      </w:r>
    </w:p>
    <w:p w14:paraId="1D38D800" w14:textId="77777777" w:rsidR="005E1918" w:rsidRDefault="005E1918" w:rsidP="00411432">
      <w:pPr>
        <w:pStyle w:val="ListParagraph"/>
        <w:numPr>
          <w:ilvl w:val="0"/>
          <w:numId w:val="14"/>
        </w:numPr>
        <w:spacing w:line="360" w:lineRule="auto"/>
        <w:jc w:val="both"/>
        <w:rPr>
          <w:rFonts w:ascii="Arial" w:hAnsi="Arial" w:cs="Arial"/>
          <w:bCs/>
          <w:sz w:val="24"/>
          <w:szCs w:val="24"/>
        </w:rPr>
      </w:pPr>
      <w:r>
        <w:rPr>
          <w:rFonts w:ascii="Arial" w:hAnsi="Arial" w:cs="Arial"/>
          <w:bCs/>
          <w:sz w:val="24"/>
          <w:szCs w:val="24"/>
        </w:rPr>
        <w:t>A</w:t>
      </w:r>
      <w:r w:rsidR="005D230C" w:rsidRPr="005E1918">
        <w:rPr>
          <w:rFonts w:ascii="Arial" w:hAnsi="Arial" w:cs="Arial"/>
          <w:bCs/>
          <w:sz w:val="24"/>
          <w:szCs w:val="24"/>
        </w:rPr>
        <w:t xml:space="preserve"> court </w:t>
      </w:r>
      <w:r>
        <w:rPr>
          <w:rFonts w:ascii="Arial" w:hAnsi="Arial" w:cs="Arial"/>
          <w:bCs/>
          <w:sz w:val="24"/>
          <w:szCs w:val="24"/>
        </w:rPr>
        <w:t>may</w:t>
      </w:r>
      <w:r w:rsidR="005D230C" w:rsidRPr="005E1918">
        <w:rPr>
          <w:rFonts w:ascii="Arial" w:hAnsi="Arial" w:cs="Arial"/>
          <w:bCs/>
          <w:sz w:val="24"/>
          <w:szCs w:val="24"/>
        </w:rPr>
        <w:t xml:space="preserve"> at the request of a party to arbitration make an interim order</w:t>
      </w:r>
      <w:r>
        <w:rPr>
          <w:rStyle w:val="FootnoteReference"/>
          <w:rFonts w:ascii="Arial" w:hAnsi="Arial" w:cs="Arial"/>
          <w:bCs/>
          <w:sz w:val="24"/>
          <w:szCs w:val="24"/>
        </w:rPr>
        <w:footnoteReference w:id="5"/>
      </w:r>
      <w:r w:rsidR="005D230C" w:rsidRPr="005E1918">
        <w:rPr>
          <w:rFonts w:ascii="Arial" w:hAnsi="Arial" w:cs="Arial"/>
          <w:bCs/>
          <w:sz w:val="24"/>
          <w:szCs w:val="24"/>
        </w:rPr>
        <w:t>.</w:t>
      </w:r>
    </w:p>
    <w:p w14:paraId="6E55DE42" w14:textId="3EB27E6D" w:rsidR="005D230C" w:rsidRPr="005E1918" w:rsidRDefault="005E1918" w:rsidP="00411432">
      <w:pPr>
        <w:pStyle w:val="ListParagraph"/>
        <w:numPr>
          <w:ilvl w:val="0"/>
          <w:numId w:val="14"/>
        </w:numPr>
        <w:spacing w:line="360" w:lineRule="auto"/>
        <w:jc w:val="both"/>
        <w:rPr>
          <w:rFonts w:ascii="Arial" w:hAnsi="Arial" w:cs="Arial"/>
          <w:bCs/>
          <w:sz w:val="24"/>
          <w:szCs w:val="24"/>
        </w:rPr>
      </w:pPr>
      <w:r>
        <w:rPr>
          <w:rFonts w:ascii="Arial" w:hAnsi="Arial" w:cs="Arial"/>
          <w:bCs/>
          <w:sz w:val="24"/>
          <w:szCs w:val="24"/>
        </w:rPr>
        <w:t>This order may not be granted unless</w:t>
      </w:r>
      <w:r w:rsidR="005D230C" w:rsidRPr="005E1918">
        <w:rPr>
          <w:rFonts w:ascii="Arial" w:hAnsi="Arial" w:cs="Arial"/>
          <w:bCs/>
          <w:sz w:val="24"/>
          <w:szCs w:val="24"/>
        </w:rPr>
        <w:t>:</w:t>
      </w:r>
    </w:p>
    <w:p w14:paraId="6F3C8635" w14:textId="2D0AE88E" w:rsidR="005D230C" w:rsidRPr="005E1918" w:rsidRDefault="005D230C" w:rsidP="005E1918">
      <w:pPr>
        <w:pStyle w:val="ListParagraph"/>
        <w:numPr>
          <w:ilvl w:val="0"/>
          <w:numId w:val="14"/>
        </w:numPr>
        <w:spacing w:line="360" w:lineRule="auto"/>
        <w:jc w:val="both"/>
        <w:rPr>
          <w:rFonts w:ascii="Arial" w:hAnsi="Arial" w:cs="Arial"/>
          <w:bCs/>
          <w:i/>
          <w:iCs/>
          <w:sz w:val="24"/>
          <w:szCs w:val="24"/>
        </w:rPr>
      </w:pPr>
      <w:r w:rsidRPr="005E1918">
        <w:rPr>
          <w:rFonts w:ascii="Arial" w:hAnsi="Arial" w:cs="Arial"/>
          <w:bCs/>
          <w:i/>
          <w:iCs/>
          <w:sz w:val="24"/>
          <w:szCs w:val="24"/>
        </w:rPr>
        <w:t>The arbitral tribunal has not yet been appointed and the matter is urgent</w:t>
      </w:r>
    </w:p>
    <w:p w14:paraId="7FF57F62" w14:textId="0E3845DB" w:rsidR="005D230C" w:rsidRPr="005E1918" w:rsidRDefault="005D230C" w:rsidP="005E1918">
      <w:pPr>
        <w:pStyle w:val="ListParagraph"/>
        <w:numPr>
          <w:ilvl w:val="0"/>
          <w:numId w:val="14"/>
        </w:numPr>
        <w:spacing w:line="360" w:lineRule="auto"/>
        <w:jc w:val="both"/>
        <w:rPr>
          <w:rFonts w:ascii="Arial" w:hAnsi="Arial" w:cs="Arial"/>
          <w:bCs/>
          <w:i/>
          <w:iCs/>
          <w:sz w:val="24"/>
          <w:szCs w:val="24"/>
        </w:rPr>
      </w:pPr>
      <w:r w:rsidRPr="005E1918">
        <w:rPr>
          <w:rFonts w:ascii="Arial" w:hAnsi="Arial" w:cs="Arial"/>
          <w:bCs/>
          <w:i/>
          <w:iCs/>
          <w:sz w:val="24"/>
          <w:szCs w:val="24"/>
        </w:rPr>
        <w:t>The arbitral tribunal is not competent to grant the order</w:t>
      </w:r>
    </w:p>
    <w:p w14:paraId="0824D49B" w14:textId="2356958C" w:rsidR="005D230C" w:rsidRPr="005E1918" w:rsidRDefault="005D230C" w:rsidP="005E1918">
      <w:pPr>
        <w:pStyle w:val="ListParagraph"/>
        <w:numPr>
          <w:ilvl w:val="0"/>
          <w:numId w:val="14"/>
        </w:numPr>
        <w:spacing w:line="360" w:lineRule="auto"/>
        <w:jc w:val="both"/>
        <w:rPr>
          <w:rFonts w:ascii="Arial" w:hAnsi="Arial" w:cs="Arial"/>
          <w:bCs/>
          <w:i/>
          <w:iCs/>
          <w:sz w:val="24"/>
          <w:szCs w:val="24"/>
        </w:rPr>
      </w:pPr>
      <w:r w:rsidRPr="005E1918">
        <w:rPr>
          <w:rFonts w:ascii="Arial" w:hAnsi="Arial" w:cs="Arial"/>
          <w:bCs/>
          <w:i/>
          <w:iCs/>
          <w:sz w:val="24"/>
          <w:szCs w:val="24"/>
        </w:rPr>
        <w:t>The urgency of the matter makes it impractical to seek such an order from the arbitral tribunal.</w:t>
      </w:r>
    </w:p>
    <w:p w14:paraId="14FF54FD" w14:textId="77777777" w:rsidR="005E1918" w:rsidRDefault="005E1918" w:rsidP="005E1918">
      <w:pPr>
        <w:pStyle w:val="ListParagraph"/>
        <w:numPr>
          <w:ilvl w:val="0"/>
          <w:numId w:val="14"/>
        </w:numPr>
        <w:spacing w:line="360" w:lineRule="auto"/>
        <w:jc w:val="both"/>
        <w:rPr>
          <w:rFonts w:ascii="Arial" w:hAnsi="Arial" w:cs="Arial"/>
          <w:bCs/>
          <w:sz w:val="24"/>
          <w:szCs w:val="24"/>
        </w:rPr>
      </w:pPr>
      <w:r w:rsidRPr="005E1918">
        <w:rPr>
          <w:rFonts w:ascii="Arial" w:hAnsi="Arial" w:cs="Arial"/>
          <w:bCs/>
          <w:sz w:val="24"/>
          <w:szCs w:val="24"/>
        </w:rPr>
        <w:t xml:space="preserve">In my view, </w:t>
      </w:r>
      <w:r>
        <w:rPr>
          <w:rFonts w:ascii="Arial" w:hAnsi="Arial" w:cs="Arial"/>
          <w:bCs/>
          <w:sz w:val="24"/>
          <w:szCs w:val="24"/>
        </w:rPr>
        <w:t xml:space="preserve">given that the </w:t>
      </w:r>
      <w:r w:rsidR="005D230C" w:rsidRPr="005E1918">
        <w:rPr>
          <w:rFonts w:ascii="Arial" w:hAnsi="Arial" w:cs="Arial"/>
          <w:bCs/>
          <w:sz w:val="24"/>
          <w:szCs w:val="24"/>
        </w:rPr>
        <w:t xml:space="preserve">arbitral tribunal has already been appointed </w:t>
      </w:r>
      <w:r>
        <w:rPr>
          <w:rFonts w:ascii="Arial" w:hAnsi="Arial" w:cs="Arial"/>
          <w:bCs/>
          <w:sz w:val="24"/>
          <w:szCs w:val="24"/>
        </w:rPr>
        <w:t xml:space="preserve">it </w:t>
      </w:r>
      <w:r w:rsidR="005D230C" w:rsidRPr="005E1918">
        <w:rPr>
          <w:rFonts w:ascii="Arial" w:hAnsi="Arial" w:cs="Arial"/>
          <w:bCs/>
          <w:sz w:val="24"/>
          <w:szCs w:val="24"/>
        </w:rPr>
        <w:t xml:space="preserve">is competent to grant the order. </w:t>
      </w:r>
    </w:p>
    <w:p w14:paraId="3896E316" w14:textId="77777777" w:rsidR="005E1918" w:rsidRDefault="005D230C" w:rsidP="005E1918">
      <w:pPr>
        <w:pStyle w:val="ListParagraph"/>
        <w:numPr>
          <w:ilvl w:val="0"/>
          <w:numId w:val="14"/>
        </w:numPr>
        <w:spacing w:line="360" w:lineRule="auto"/>
        <w:jc w:val="both"/>
        <w:rPr>
          <w:rFonts w:ascii="Arial" w:hAnsi="Arial" w:cs="Arial"/>
          <w:bCs/>
          <w:sz w:val="24"/>
          <w:szCs w:val="24"/>
        </w:rPr>
      </w:pPr>
      <w:r w:rsidRPr="005E1918">
        <w:rPr>
          <w:rFonts w:ascii="Arial" w:hAnsi="Arial" w:cs="Arial"/>
          <w:bCs/>
          <w:sz w:val="24"/>
          <w:szCs w:val="24"/>
        </w:rPr>
        <w:t>There is no urgency that would make it impractical to seek the order from the tribunal</w:t>
      </w:r>
    </w:p>
    <w:p w14:paraId="68CE3861" w14:textId="66A98E03" w:rsidR="005D230C" w:rsidRPr="005E1918" w:rsidRDefault="005D230C" w:rsidP="005D230C">
      <w:pPr>
        <w:pStyle w:val="ListParagraph"/>
        <w:numPr>
          <w:ilvl w:val="0"/>
          <w:numId w:val="14"/>
        </w:numPr>
        <w:spacing w:line="360" w:lineRule="auto"/>
        <w:jc w:val="both"/>
        <w:rPr>
          <w:rFonts w:ascii="Arial" w:hAnsi="Arial" w:cs="Arial"/>
          <w:bCs/>
          <w:sz w:val="24"/>
          <w:szCs w:val="24"/>
        </w:rPr>
      </w:pPr>
      <w:r w:rsidRPr="005E1918">
        <w:rPr>
          <w:rFonts w:ascii="Arial" w:hAnsi="Arial" w:cs="Arial"/>
          <w:bCs/>
          <w:sz w:val="24"/>
          <w:szCs w:val="24"/>
        </w:rPr>
        <w:lastRenderedPageBreak/>
        <w:t xml:space="preserve">Thus, the </w:t>
      </w:r>
      <w:r w:rsidR="005E1918">
        <w:rPr>
          <w:rFonts w:ascii="Arial" w:hAnsi="Arial" w:cs="Arial"/>
          <w:bCs/>
          <w:sz w:val="24"/>
          <w:szCs w:val="24"/>
        </w:rPr>
        <w:t>SOC must</w:t>
      </w:r>
      <w:r w:rsidRPr="005E1918">
        <w:rPr>
          <w:rFonts w:ascii="Arial" w:hAnsi="Arial" w:cs="Arial"/>
          <w:bCs/>
          <w:sz w:val="24"/>
          <w:szCs w:val="24"/>
        </w:rPr>
        <w:t xml:space="preserve"> approach the tribunal for an order permitting </w:t>
      </w:r>
      <w:r w:rsidR="005E1918">
        <w:rPr>
          <w:rFonts w:ascii="Arial" w:hAnsi="Arial" w:cs="Arial"/>
          <w:bCs/>
          <w:sz w:val="24"/>
          <w:szCs w:val="24"/>
        </w:rPr>
        <w:t>it</w:t>
      </w:r>
      <w:r w:rsidRPr="005E1918">
        <w:rPr>
          <w:rFonts w:ascii="Arial" w:hAnsi="Arial" w:cs="Arial"/>
          <w:bCs/>
          <w:sz w:val="24"/>
          <w:szCs w:val="24"/>
        </w:rPr>
        <w:t xml:space="preserve"> to make the info</w:t>
      </w:r>
      <w:r w:rsidR="005E1918">
        <w:rPr>
          <w:rFonts w:ascii="Arial" w:hAnsi="Arial" w:cs="Arial"/>
          <w:bCs/>
          <w:sz w:val="24"/>
          <w:szCs w:val="24"/>
        </w:rPr>
        <w:t>rmation</w:t>
      </w:r>
      <w:r w:rsidRPr="005E1918">
        <w:rPr>
          <w:rFonts w:ascii="Arial" w:hAnsi="Arial" w:cs="Arial"/>
          <w:bCs/>
          <w:sz w:val="24"/>
          <w:szCs w:val="24"/>
        </w:rPr>
        <w:t xml:space="preserve"> public.</w:t>
      </w:r>
    </w:p>
    <w:p w14:paraId="4A55CBF0" w14:textId="77777777" w:rsidR="005D230C" w:rsidRDefault="005D230C" w:rsidP="005D230C">
      <w:pPr>
        <w:spacing w:line="360" w:lineRule="auto"/>
        <w:jc w:val="both"/>
        <w:rPr>
          <w:rFonts w:ascii="Arial" w:hAnsi="Arial" w:cs="Arial"/>
          <w:bCs/>
          <w:sz w:val="24"/>
          <w:szCs w:val="24"/>
        </w:rPr>
      </w:pPr>
      <w:r>
        <w:rPr>
          <w:rFonts w:ascii="Arial" w:hAnsi="Arial" w:cs="Arial"/>
          <w:b/>
          <w:sz w:val="24"/>
          <w:szCs w:val="24"/>
          <w:u w:val="single"/>
        </w:rPr>
        <w:t>QUESTION 5</w:t>
      </w:r>
    </w:p>
    <w:p w14:paraId="646083E4" w14:textId="77777777" w:rsidR="002D6A11" w:rsidRDefault="002D6A11" w:rsidP="002D6A11">
      <w:pPr>
        <w:pStyle w:val="ListParagraph"/>
        <w:numPr>
          <w:ilvl w:val="0"/>
          <w:numId w:val="16"/>
        </w:numPr>
        <w:spacing w:line="360" w:lineRule="auto"/>
        <w:jc w:val="both"/>
        <w:rPr>
          <w:rFonts w:ascii="Arial" w:hAnsi="Arial" w:cs="Arial"/>
          <w:bCs/>
          <w:sz w:val="24"/>
          <w:szCs w:val="24"/>
        </w:rPr>
      </w:pPr>
      <w:r w:rsidRPr="002D6A11">
        <w:rPr>
          <w:rFonts w:ascii="Arial" w:hAnsi="Arial" w:cs="Arial"/>
          <w:bCs/>
          <w:sz w:val="24"/>
          <w:szCs w:val="24"/>
        </w:rPr>
        <w:t>In terms of p</w:t>
      </w:r>
      <w:r w:rsidR="005D230C" w:rsidRPr="002D6A11">
        <w:rPr>
          <w:rFonts w:ascii="Arial" w:hAnsi="Arial" w:cs="Arial"/>
          <w:bCs/>
          <w:sz w:val="24"/>
          <w:szCs w:val="24"/>
        </w:rPr>
        <w:t>aragraph (b) of the Model Law empowers the arbitral tribunal to grant anti-suit injunctions.</w:t>
      </w:r>
    </w:p>
    <w:p w14:paraId="67582AC2" w14:textId="77777777" w:rsidR="007E6EF3" w:rsidRDefault="005D230C" w:rsidP="005D230C">
      <w:pPr>
        <w:pStyle w:val="ListParagraph"/>
        <w:numPr>
          <w:ilvl w:val="0"/>
          <w:numId w:val="16"/>
        </w:numPr>
        <w:spacing w:line="360" w:lineRule="auto"/>
        <w:jc w:val="both"/>
        <w:rPr>
          <w:rFonts w:ascii="Arial" w:hAnsi="Arial" w:cs="Arial"/>
          <w:bCs/>
          <w:sz w:val="24"/>
          <w:szCs w:val="24"/>
        </w:rPr>
      </w:pPr>
      <w:r w:rsidRPr="002D6A11">
        <w:rPr>
          <w:rFonts w:ascii="Arial" w:hAnsi="Arial" w:cs="Arial"/>
          <w:bCs/>
          <w:sz w:val="24"/>
          <w:szCs w:val="24"/>
        </w:rPr>
        <w:t xml:space="preserve"> </w:t>
      </w:r>
      <w:r w:rsidR="002D6A11">
        <w:rPr>
          <w:rFonts w:ascii="Arial" w:hAnsi="Arial" w:cs="Arial"/>
          <w:bCs/>
          <w:sz w:val="24"/>
          <w:szCs w:val="24"/>
        </w:rPr>
        <w:t>In this respect, a tribunal may order a party to</w:t>
      </w:r>
      <w:r w:rsidRPr="002D6A11">
        <w:rPr>
          <w:rFonts w:ascii="Arial" w:hAnsi="Arial" w:cs="Arial"/>
          <w:bCs/>
          <w:sz w:val="24"/>
          <w:szCs w:val="24"/>
        </w:rPr>
        <w:t xml:space="preserve"> refrain from taking action that is likely </w:t>
      </w:r>
      <w:r w:rsidR="002D6A11">
        <w:rPr>
          <w:rFonts w:ascii="Arial" w:hAnsi="Arial" w:cs="Arial"/>
          <w:bCs/>
          <w:sz w:val="24"/>
          <w:szCs w:val="24"/>
        </w:rPr>
        <w:t>to</w:t>
      </w:r>
      <w:r w:rsidRPr="002D6A11">
        <w:rPr>
          <w:rFonts w:ascii="Arial" w:hAnsi="Arial" w:cs="Arial"/>
          <w:bCs/>
          <w:sz w:val="24"/>
          <w:szCs w:val="24"/>
        </w:rPr>
        <w:t xml:space="preserve"> cause, current or imminent harm or prejudice to the arbitral proce</w:t>
      </w:r>
      <w:r w:rsidR="002D6A11">
        <w:rPr>
          <w:rFonts w:ascii="Arial" w:hAnsi="Arial" w:cs="Arial"/>
          <w:bCs/>
          <w:sz w:val="24"/>
          <w:szCs w:val="24"/>
        </w:rPr>
        <w:t>edings</w:t>
      </w:r>
    </w:p>
    <w:p w14:paraId="621144F9" w14:textId="0EDE3741" w:rsidR="005D230C" w:rsidRDefault="007E6EF3" w:rsidP="005D230C">
      <w:pPr>
        <w:pStyle w:val="ListParagraph"/>
        <w:numPr>
          <w:ilvl w:val="0"/>
          <w:numId w:val="16"/>
        </w:numPr>
        <w:spacing w:line="360" w:lineRule="auto"/>
        <w:jc w:val="both"/>
        <w:rPr>
          <w:rFonts w:ascii="Arial" w:hAnsi="Arial" w:cs="Arial"/>
          <w:bCs/>
          <w:sz w:val="24"/>
          <w:szCs w:val="24"/>
        </w:rPr>
      </w:pPr>
      <w:r>
        <w:rPr>
          <w:rFonts w:ascii="Arial" w:hAnsi="Arial" w:cs="Arial"/>
          <w:bCs/>
          <w:sz w:val="24"/>
          <w:szCs w:val="24"/>
        </w:rPr>
        <w:t>In my view, a</w:t>
      </w:r>
      <w:r w:rsidR="005D230C" w:rsidRPr="007E6EF3">
        <w:rPr>
          <w:rFonts w:ascii="Arial" w:hAnsi="Arial" w:cs="Arial"/>
          <w:bCs/>
          <w:sz w:val="24"/>
          <w:szCs w:val="24"/>
        </w:rPr>
        <w:t xml:space="preserve">n anti-suit injunction </w:t>
      </w:r>
      <w:r>
        <w:rPr>
          <w:rFonts w:ascii="Arial" w:hAnsi="Arial" w:cs="Arial"/>
          <w:bCs/>
          <w:sz w:val="24"/>
          <w:szCs w:val="24"/>
        </w:rPr>
        <w:t>is applicable</w:t>
      </w:r>
      <w:r w:rsidR="005D230C" w:rsidRPr="007E6EF3">
        <w:rPr>
          <w:rFonts w:ascii="Arial" w:hAnsi="Arial" w:cs="Arial"/>
          <w:bCs/>
          <w:sz w:val="24"/>
          <w:szCs w:val="24"/>
        </w:rPr>
        <w:t xml:space="preserve"> in circumstances where a party intends to initiate proceedings in court or other forum while proceedings are underway in relation to the same subject matter in an arbitral tribunal</w:t>
      </w:r>
    </w:p>
    <w:p w14:paraId="7DFA6857" w14:textId="62256CC9" w:rsidR="007E6EF3" w:rsidRPr="007E6EF3" w:rsidRDefault="007E6EF3" w:rsidP="005D230C">
      <w:pPr>
        <w:pStyle w:val="ListParagraph"/>
        <w:numPr>
          <w:ilvl w:val="0"/>
          <w:numId w:val="16"/>
        </w:numPr>
        <w:spacing w:line="360" w:lineRule="auto"/>
        <w:jc w:val="both"/>
        <w:rPr>
          <w:rFonts w:ascii="Arial" w:hAnsi="Arial" w:cs="Arial"/>
          <w:bCs/>
          <w:sz w:val="24"/>
          <w:szCs w:val="24"/>
        </w:rPr>
      </w:pPr>
      <w:r>
        <w:rPr>
          <w:rFonts w:ascii="Arial" w:hAnsi="Arial" w:cs="Arial"/>
          <w:bCs/>
          <w:sz w:val="24"/>
          <w:szCs w:val="24"/>
        </w:rPr>
        <w:t>In effect, this is a ‘’stay of legal proceedings’’</w:t>
      </w:r>
    </w:p>
    <w:p w14:paraId="24EAA7BD" w14:textId="77777777" w:rsidR="007E6EF3" w:rsidRDefault="007E6EF3" w:rsidP="005D230C">
      <w:pPr>
        <w:pStyle w:val="ListParagraph"/>
        <w:numPr>
          <w:ilvl w:val="0"/>
          <w:numId w:val="16"/>
        </w:numPr>
        <w:spacing w:line="360" w:lineRule="auto"/>
        <w:jc w:val="both"/>
        <w:rPr>
          <w:rFonts w:ascii="Arial" w:hAnsi="Arial" w:cs="Arial"/>
          <w:bCs/>
          <w:sz w:val="24"/>
          <w:szCs w:val="24"/>
        </w:rPr>
      </w:pPr>
      <w:r w:rsidRPr="007E6EF3">
        <w:rPr>
          <w:rFonts w:ascii="Arial" w:hAnsi="Arial" w:cs="Arial"/>
          <w:bCs/>
          <w:sz w:val="24"/>
          <w:szCs w:val="24"/>
        </w:rPr>
        <w:t xml:space="preserve">A respondent is entitled to secure costs in terms of </w:t>
      </w:r>
      <w:r w:rsidR="005D230C" w:rsidRPr="007E6EF3">
        <w:rPr>
          <w:rFonts w:ascii="Arial" w:hAnsi="Arial" w:cs="Arial"/>
          <w:bCs/>
          <w:sz w:val="24"/>
          <w:szCs w:val="24"/>
        </w:rPr>
        <w:t>Article 17(2)(c) makes provision for an order to secure costs</w:t>
      </w:r>
      <w:r w:rsidRPr="007E6EF3">
        <w:rPr>
          <w:rFonts w:ascii="Arial" w:hAnsi="Arial" w:cs="Arial"/>
          <w:bCs/>
          <w:sz w:val="24"/>
          <w:szCs w:val="24"/>
        </w:rPr>
        <w:t xml:space="preserve"> </w:t>
      </w:r>
    </w:p>
    <w:p w14:paraId="04613659" w14:textId="77777777" w:rsidR="007E6EF3" w:rsidRDefault="005D230C" w:rsidP="005D230C">
      <w:pPr>
        <w:pStyle w:val="ListParagraph"/>
        <w:numPr>
          <w:ilvl w:val="0"/>
          <w:numId w:val="16"/>
        </w:numPr>
        <w:spacing w:line="360" w:lineRule="auto"/>
        <w:jc w:val="both"/>
        <w:rPr>
          <w:rFonts w:ascii="Arial" w:hAnsi="Arial" w:cs="Arial"/>
          <w:bCs/>
          <w:sz w:val="24"/>
          <w:szCs w:val="24"/>
        </w:rPr>
      </w:pPr>
      <w:r w:rsidRPr="007E6EF3">
        <w:rPr>
          <w:rFonts w:ascii="Arial" w:hAnsi="Arial" w:cs="Arial"/>
          <w:bCs/>
          <w:sz w:val="24"/>
          <w:szCs w:val="24"/>
        </w:rPr>
        <w:t xml:space="preserve">The Respondent </w:t>
      </w:r>
      <w:r w:rsidR="007E6EF3">
        <w:rPr>
          <w:rFonts w:ascii="Arial" w:hAnsi="Arial" w:cs="Arial"/>
          <w:bCs/>
          <w:sz w:val="24"/>
          <w:szCs w:val="24"/>
        </w:rPr>
        <w:t>may</w:t>
      </w:r>
      <w:r w:rsidRPr="007E6EF3">
        <w:rPr>
          <w:rFonts w:ascii="Arial" w:hAnsi="Arial" w:cs="Arial"/>
          <w:bCs/>
          <w:sz w:val="24"/>
          <w:szCs w:val="24"/>
        </w:rPr>
        <w:t xml:space="preserve"> request security for costs </w:t>
      </w:r>
      <w:r w:rsidR="007E6EF3">
        <w:rPr>
          <w:rFonts w:ascii="Arial" w:hAnsi="Arial" w:cs="Arial"/>
          <w:bCs/>
          <w:sz w:val="24"/>
          <w:szCs w:val="24"/>
        </w:rPr>
        <w:t xml:space="preserve">should </w:t>
      </w:r>
      <w:r w:rsidRPr="007E6EF3">
        <w:rPr>
          <w:rFonts w:ascii="Arial" w:hAnsi="Arial" w:cs="Arial"/>
          <w:bCs/>
          <w:sz w:val="24"/>
          <w:szCs w:val="24"/>
        </w:rPr>
        <w:t xml:space="preserve">there </w:t>
      </w:r>
      <w:r w:rsidR="007E6EF3">
        <w:rPr>
          <w:rFonts w:ascii="Arial" w:hAnsi="Arial" w:cs="Arial"/>
          <w:bCs/>
          <w:sz w:val="24"/>
          <w:szCs w:val="24"/>
        </w:rPr>
        <w:t>be a bona fide</w:t>
      </w:r>
      <w:r w:rsidRPr="007E6EF3">
        <w:rPr>
          <w:rFonts w:ascii="Arial" w:hAnsi="Arial" w:cs="Arial"/>
          <w:bCs/>
          <w:sz w:val="24"/>
          <w:szCs w:val="24"/>
        </w:rPr>
        <w:t xml:space="preserve"> risk that </w:t>
      </w:r>
      <w:r w:rsidR="007E6EF3">
        <w:rPr>
          <w:rFonts w:ascii="Arial" w:hAnsi="Arial" w:cs="Arial"/>
          <w:bCs/>
          <w:sz w:val="24"/>
          <w:szCs w:val="24"/>
        </w:rPr>
        <w:t xml:space="preserve">it will not </w:t>
      </w:r>
      <w:r w:rsidRPr="007E6EF3">
        <w:rPr>
          <w:rFonts w:ascii="Arial" w:hAnsi="Arial" w:cs="Arial"/>
          <w:bCs/>
          <w:sz w:val="24"/>
          <w:szCs w:val="24"/>
        </w:rPr>
        <w:t>be able to enforce a potential costs award</w:t>
      </w:r>
    </w:p>
    <w:p w14:paraId="7E878C8E" w14:textId="77777777" w:rsidR="007E6EF3" w:rsidRDefault="007E6EF3" w:rsidP="005D230C">
      <w:pPr>
        <w:pStyle w:val="ListParagraph"/>
        <w:numPr>
          <w:ilvl w:val="0"/>
          <w:numId w:val="16"/>
        </w:numPr>
        <w:spacing w:line="360" w:lineRule="auto"/>
        <w:jc w:val="both"/>
        <w:rPr>
          <w:rFonts w:ascii="Arial" w:hAnsi="Arial" w:cs="Arial"/>
          <w:bCs/>
          <w:sz w:val="24"/>
          <w:szCs w:val="24"/>
        </w:rPr>
      </w:pPr>
      <w:r>
        <w:rPr>
          <w:rFonts w:ascii="Arial" w:hAnsi="Arial" w:cs="Arial"/>
          <w:bCs/>
          <w:sz w:val="24"/>
          <w:szCs w:val="24"/>
        </w:rPr>
        <w:t>Alternatively, t</w:t>
      </w:r>
      <w:r w:rsidR="005D230C" w:rsidRPr="007E6EF3">
        <w:rPr>
          <w:rFonts w:ascii="Arial" w:hAnsi="Arial" w:cs="Arial"/>
          <w:bCs/>
          <w:sz w:val="24"/>
          <w:szCs w:val="24"/>
        </w:rPr>
        <w:t>he claimant can only apply for security of his costs if the respondent has filed a counter-claim.</w:t>
      </w:r>
    </w:p>
    <w:p w14:paraId="66D8A6B8" w14:textId="77777777" w:rsidR="00FB7E3E" w:rsidRDefault="005D230C" w:rsidP="005D230C">
      <w:pPr>
        <w:pStyle w:val="ListParagraph"/>
        <w:numPr>
          <w:ilvl w:val="0"/>
          <w:numId w:val="16"/>
        </w:numPr>
        <w:spacing w:line="360" w:lineRule="auto"/>
        <w:jc w:val="both"/>
        <w:rPr>
          <w:rFonts w:ascii="Arial" w:hAnsi="Arial" w:cs="Arial"/>
          <w:bCs/>
          <w:sz w:val="24"/>
          <w:szCs w:val="24"/>
        </w:rPr>
      </w:pPr>
      <w:r w:rsidRPr="007E6EF3">
        <w:rPr>
          <w:rFonts w:ascii="Arial" w:hAnsi="Arial" w:cs="Arial"/>
          <w:bCs/>
          <w:sz w:val="24"/>
          <w:szCs w:val="24"/>
        </w:rPr>
        <w:t xml:space="preserve">Article 17J </w:t>
      </w:r>
      <w:r w:rsidR="007E6EF3">
        <w:rPr>
          <w:rFonts w:ascii="Arial" w:hAnsi="Arial" w:cs="Arial"/>
          <w:bCs/>
          <w:sz w:val="24"/>
          <w:szCs w:val="24"/>
        </w:rPr>
        <w:t xml:space="preserve">empowers the court with the same powers as the tribunal with respect to the </w:t>
      </w:r>
      <w:r w:rsidRPr="007E6EF3">
        <w:rPr>
          <w:rFonts w:ascii="Arial" w:hAnsi="Arial" w:cs="Arial"/>
          <w:bCs/>
          <w:sz w:val="24"/>
          <w:szCs w:val="24"/>
        </w:rPr>
        <w:t>grant</w:t>
      </w:r>
      <w:r w:rsidR="007E6EF3">
        <w:rPr>
          <w:rFonts w:ascii="Arial" w:hAnsi="Arial" w:cs="Arial"/>
          <w:bCs/>
          <w:sz w:val="24"/>
          <w:szCs w:val="24"/>
        </w:rPr>
        <w:t>ing of</w:t>
      </w:r>
      <w:r w:rsidRPr="007E6EF3">
        <w:rPr>
          <w:rFonts w:ascii="Arial" w:hAnsi="Arial" w:cs="Arial"/>
          <w:bCs/>
          <w:sz w:val="24"/>
          <w:szCs w:val="24"/>
        </w:rPr>
        <w:t xml:space="preserve"> interim orders</w:t>
      </w:r>
      <w:r w:rsidR="007E6EF3">
        <w:rPr>
          <w:rFonts w:ascii="Arial" w:hAnsi="Arial" w:cs="Arial"/>
          <w:bCs/>
          <w:sz w:val="24"/>
          <w:szCs w:val="24"/>
        </w:rPr>
        <w:t>. This does not prevent a party to the dispute from approaching the court</w:t>
      </w:r>
    </w:p>
    <w:p w14:paraId="5039395D" w14:textId="77777777" w:rsidR="00FB7E3E" w:rsidRDefault="00FB7E3E" w:rsidP="005D230C">
      <w:pPr>
        <w:pStyle w:val="ListParagraph"/>
        <w:numPr>
          <w:ilvl w:val="0"/>
          <w:numId w:val="16"/>
        </w:numPr>
        <w:spacing w:line="360" w:lineRule="auto"/>
        <w:jc w:val="both"/>
        <w:rPr>
          <w:rFonts w:ascii="Arial" w:hAnsi="Arial" w:cs="Arial"/>
          <w:bCs/>
          <w:sz w:val="24"/>
          <w:szCs w:val="24"/>
        </w:rPr>
      </w:pPr>
      <w:r>
        <w:rPr>
          <w:rFonts w:ascii="Arial" w:hAnsi="Arial" w:cs="Arial"/>
          <w:bCs/>
          <w:sz w:val="24"/>
          <w:szCs w:val="24"/>
        </w:rPr>
        <w:t xml:space="preserve">In that respect, </w:t>
      </w:r>
      <w:r w:rsidR="005D230C" w:rsidRPr="00FB7E3E">
        <w:rPr>
          <w:rFonts w:ascii="Arial" w:hAnsi="Arial" w:cs="Arial"/>
          <w:bCs/>
          <w:sz w:val="24"/>
          <w:szCs w:val="24"/>
        </w:rPr>
        <w:t xml:space="preserve">the Respondent is </w:t>
      </w:r>
      <w:r>
        <w:rPr>
          <w:rFonts w:ascii="Arial" w:hAnsi="Arial" w:cs="Arial"/>
          <w:bCs/>
          <w:sz w:val="24"/>
          <w:szCs w:val="24"/>
        </w:rPr>
        <w:t>mandated</w:t>
      </w:r>
      <w:r w:rsidR="005D230C" w:rsidRPr="00FB7E3E">
        <w:rPr>
          <w:rFonts w:ascii="Arial" w:hAnsi="Arial" w:cs="Arial"/>
          <w:bCs/>
          <w:sz w:val="24"/>
          <w:szCs w:val="24"/>
        </w:rPr>
        <w:t xml:space="preserve"> to approach the arbitral tribunal for an order for security of costs. </w:t>
      </w:r>
    </w:p>
    <w:p w14:paraId="1E7D8D9E" w14:textId="3E5A975A" w:rsidR="005D230C" w:rsidRPr="00FB7E3E" w:rsidRDefault="005D230C" w:rsidP="005D230C">
      <w:pPr>
        <w:pStyle w:val="ListParagraph"/>
        <w:numPr>
          <w:ilvl w:val="0"/>
          <w:numId w:val="16"/>
        </w:numPr>
        <w:spacing w:line="360" w:lineRule="auto"/>
        <w:jc w:val="both"/>
        <w:rPr>
          <w:rFonts w:ascii="Arial" w:hAnsi="Arial" w:cs="Arial"/>
          <w:bCs/>
          <w:sz w:val="24"/>
          <w:szCs w:val="24"/>
        </w:rPr>
      </w:pPr>
      <w:r w:rsidRPr="00FB7E3E">
        <w:rPr>
          <w:rFonts w:ascii="Arial" w:hAnsi="Arial" w:cs="Arial"/>
          <w:bCs/>
          <w:sz w:val="24"/>
          <w:szCs w:val="24"/>
        </w:rPr>
        <w:t>The tribunal has the capacity to stay proceedings until the claimant has complied with an order for security of the Respondent’s costs.</w:t>
      </w:r>
    </w:p>
    <w:p w14:paraId="51AEB9DE" w14:textId="77777777" w:rsidR="005D230C" w:rsidRDefault="005D230C" w:rsidP="005D230C">
      <w:pPr>
        <w:spacing w:line="360" w:lineRule="auto"/>
        <w:jc w:val="both"/>
        <w:rPr>
          <w:rFonts w:ascii="Arial" w:hAnsi="Arial" w:cs="Arial"/>
          <w:bCs/>
          <w:sz w:val="24"/>
          <w:szCs w:val="24"/>
        </w:rPr>
      </w:pPr>
      <w:r>
        <w:rPr>
          <w:rFonts w:ascii="Arial" w:hAnsi="Arial" w:cs="Arial"/>
          <w:b/>
          <w:sz w:val="24"/>
          <w:szCs w:val="24"/>
          <w:u w:val="single"/>
        </w:rPr>
        <w:t>QUESTION 6</w:t>
      </w:r>
    </w:p>
    <w:p w14:paraId="774E4660" w14:textId="77777777" w:rsidR="007C727B" w:rsidRDefault="007C727B" w:rsidP="005D230C">
      <w:pPr>
        <w:pStyle w:val="ListParagraph"/>
        <w:numPr>
          <w:ilvl w:val="0"/>
          <w:numId w:val="17"/>
        </w:numPr>
        <w:spacing w:line="360" w:lineRule="auto"/>
        <w:jc w:val="both"/>
        <w:rPr>
          <w:rFonts w:ascii="Arial" w:hAnsi="Arial" w:cs="Arial"/>
          <w:bCs/>
          <w:sz w:val="24"/>
          <w:szCs w:val="24"/>
        </w:rPr>
      </w:pPr>
      <w:r w:rsidRPr="007C727B">
        <w:rPr>
          <w:rFonts w:ascii="Arial" w:hAnsi="Arial" w:cs="Arial"/>
          <w:bCs/>
          <w:sz w:val="24"/>
          <w:szCs w:val="24"/>
        </w:rPr>
        <w:t>The tribunal could adopt the provisions of the high court rules regarding the use of expert witnesses</w:t>
      </w:r>
    </w:p>
    <w:p w14:paraId="5F0090A8" w14:textId="1369CE87" w:rsidR="0019088D" w:rsidRDefault="005D230C" w:rsidP="005D230C">
      <w:pPr>
        <w:pStyle w:val="ListParagraph"/>
        <w:numPr>
          <w:ilvl w:val="0"/>
          <w:numId w:val="17"/>
        </w:numPr>
        <w:spacing w:line="360" w:lineRule="auto"/>
        <w:jc w:val="both"/>
        <w:rPr>
          <w:rFonts w:ascii="Arial" w:hAnsi="Arial" w:cs="Arial"/>
          <w:bCs/>
          <w:sz w:val="24"/>
          <w:szCs w:val="24"/>
        </w:rPr>
      </w:pPr>
      <w:r w:rsidRPr="007C727B">
        <w:rPr>
          <w:rFonts w:ascii="Arial" w:hAnsi="Arial" w:cs="Arial"/>
          <w:bCs/>
          <w:sz w:val="24"/>
          <w:szCs w:val="24"/>
        </w:rPr>
        <w:t>High Court Rule 36(9) de</w:t>
      </w:r>
      <w:r w:rsidR="007C727B">
        <w:rPr>
          <w:rFonts w:ascii="Arial" w:hAnsi="Arial" w:cs="Arial"/>
          <w:bCs/>
          <w:sz w:val="24"/>
          <w:szCs w:val="24"/>
        </w:rPr>
        <w:t xml:space="preserve">termines </w:t>
      </w:r>
      <w:r w:rsidRPr="007C727B">
        <w:rPr>
          <w:rFonts w:ascii="Arial" w:hAnsi="Arial" w:cs="Arial"/>
          <w:bCs/>
          <w:sz w:val="24"/>
          <w:szCs w:val="24"/>
        </w:rPr>
        <w:t>that a party must give written notice of its intention to call an expert witness</w:t>
      </w:r>
      <w:r w:rsidR="0019088D">
        <w:rPr>
          <w:rFonts w:ascii="Arial" w:hAnsi="Arial" w:cs="Arial"/>
          <w:bCs/>
          <w:sz w:val="24"/>
          <w:szCs w:val="24"/>
        </w:rPr>
        <w:t>, this applies with the natural law</w:t>
      </w:r>
    </w:p>
    <w:p w14:paraId="74A96E63" w14:textId="77777777" w:rsidR="0019088D" w:rsidRDefault="005D230C" w:rsidP="005D230C">
      <w:pPr>
        <w:pStyle w:val="ListParagraph"/>
        <w:numPr>
          <w:ilvl w:val="0"/>
          <w:numId w:val="17"/>
        </w:numPr>
        <w:spacing w:line="360" w:lineRule="auto"/>
        <w:jc w:val="both"/>
        <w:rPr>
          <w:rFonts w:ascii="Arial" w:hAnsi="Arial" w:cs="Arial"/>
          <w:bCs/>
          <w:sz w:val="24"/>
          <w:szCs w:val="24"/>
        </w:rPr>
      </w:pPr>
      <w:r w:rsidRPr="007C727B">
        <w:rPr>
          <w:rFonts w:ascii="Arial" w:hAnsi="Arial" w:cs="Arial"/>
          <w:bCs/>
          <w:sz w:val="24"/>
          <w:szCs w:val="24"/>
        </w:rPr>
        <w:t xml:space="preserve">In addition, </w:t>
      </w:r>
      <w:r w:rsidR="0019088D">
        <w:rPr>
          <w:rFonts w:ascii="Arial" w:hAnsi="Arial" w:cs="Arial"/>
          <w:bCs/>
          <w:sz w:val="24"/>
          <w:szCs w:val="24"/>
        </w:rPr>
        <w:t>that</w:t>
      </w:r>
      <w:r w:rsidRPr="007C727B">
        <w:rPr>
          <w:rFonts w:ascii="Arial" w:hAnsi="Arial" w:cs="Arial"/>
          <w:bCs/>
          <w:sz w:val="24"/>
          <w:szCs w:val="24"/>
        </w:rPr>
        <w:t xml:space="preserve"> party must also deliver a summary of the expert’s testimony and include in such summary the reasons that supports the expert’s view</w:t>
      </w:r>
    </w:p>
    <w:p w14:paraId="56DB559F" w14:textId="77777777" w:rsidR="0019088D" w:rsidRDefault="0019088D" w:rsidP="005D230C">
      <w:pPr>
        <w:pStyle w:val="ListParagraph"/>
        <w:numPr>
          <w:ilvl w:val="0"/>
          <w:numId w:val="17"/>
        </w:numPr>
        <w:spacing w:line="360" w:lineRule="auto"/>
        <w:jc w:val="both"/>
        <w:rPr>
          <w:rFonts w:ascii="Arial" w:hAnsi="Arial" w:cs="Arial"/>
          <w:bCs/>
          <w:sz w:val="24"/>
          <w:szCs w:val="24"/>
        </w:rPr>
      </w:pPr>
      <w:r>
        <w:rPr>
          <w:rFonts w:ascii="Arial" w:hAnsi="Arial" w:cs="Arial"/>
          <w:bCs/>
          <w:sz w:val="24"/>
          <w:szCs w:val="24"/>
        </w:rPr>
        <w:lastRenderedPageBreak/>
        <w:t>This is shared with the opposite side</w:t>
      </w:r>
    </w:p>
    <w:p w14:paraId="371D60D3" w14:textId="41441624" w:rsidR="005D230C" w:rsidRDefault="0019088D" w:rsidP="005D230C">
      <w:pPr>
        <w:pStyle w:val="ListParagraph"/>
        <w:numPr>
          <w:ilvl w:val="0"/>
          <w:numId w:val="17"/>
        </w:numPr>
        <w:spacing w:line="360" w:lineRule="auto"/>
        <w:jc w:val="both"/>
        <w:rPr>
          <w:rFonts w:ascii="Arial" w:hAnsi="Arial" w:cs="Arial"/>
          <w:bCs/>
          <w:sz w:val="24"/>
          <w:szCs w:val="24"/>
        </w:rPr>
      </w:pPr>
      <w:r>
        <w:rPr>
          <w:rFonts w:ascii="Arial" w:hAnsi="Arial" w:cs="Arial"/>
          <w:bCs/>
          <w:sz w:val="24"/>
          <w:szCs w:val="24"/>
        </w:rPr>
        <w:t xml:space="preserve">In an arbitration, this may be extended to a detailed </w:t>
      </w:r>
      <w:r w:rsidRPr="007C727B">
        <w:rPr>
          <w:rFonts w:ascii="Arial" w:hAnsi="Arial" w:cs="Arial"/>
          <w:bCs/>
          <w:sz w:val="24"/>
          <w:szCs w:val="24"/>
        </w:rPr>
        <w:t>report</w:t>
      </w:r>
      <w:r w:rsidR="005D230C" w:rsidRPr="007C727B">
        <w:rPr>
          <w:rFonts w:ascii="Arial" w:hAnsi="Arial" w:cs="Arial"/>
          <w:bCs/>
          <w:sz w:val="24"/>
          <w:szCs w:val="24"/>
        </w:rPr>
        <w:t xml:space="preserve"> prior to the hearing.</w:t>
      </w:r>
    </w:p>
    <w:p w14:paraId="157CD35C" w14:textId="665BE215" w:rsidR="0019088D" w:rsidRDefault="0019088D" w:rsidP="005D230C">
      <w:pPr>
        <w:pStyle w:val="ListParagraph"/>
        <w:numPr>
          <w:ilvl w:val="0"/>
          <w:numId w:val="17"/>
        </w:numPr>
        <w:spacing w:line="360" w:lineRule="auto"/>
        <w:jc w:val="both"/>
        <w:rPr>
          <w:rFonts w:ascii="Arial" w:hAnsi="Arial" w:cs="Arial"/>
          <w:bCs/>
          <w:sz w:val="24"/>
          <w:szCs w:val="24"/>
        </w:rPr>
      </w:pPr>
      <w:r>
        <w:rPr>
          <w:rFonts w:ascii="Arial" w:hAnsi="Arial" w:cs="Arial"/>
          <w:bCs/>
          <w:sz w:val="24"/>
          <w:szCs w:val="24"/>
        </w:rPr>
        <w:t>A single joint expert may also be considered</w:t>
      </w:r>
    </w:p>
    <w:p w14:paraId="6DFD1F03" w14:textId="1D9964EC" w:rsidR="0019088D" w:rsidRDefault="0019088D" w:rsidP="005D230C">
      <w:pPr>
        <w:pStyle w:val="ListParagraph"/>
        <w:numPr>
          <w:ilvl w:val="0"/>
          <w:numId w:val="17"/>
        </w:numPr>
        <w:spacing w:line="360" w:lineRule="auto"/>
        <w:jc w:val="both"/>
        <w:rPr>
          <w:rFonts w:ascii="Arial" w:hAnsi="Arial" w:cs="Arial"/>
          <w:bCs/>
          <w:sz w:val="24"/>
          <w:szCs w:val="24"/>
        </w:rPr>
      </w:pPr>
      <w:r>
        <w:rPr>
          <w:rFonts w:ascii="Arial" w:hAnsi="Arial" w:cs="Arial"/>
          <w:bCs/>
          <w:sz w:val="24"/>
          <w:szCs w:val="24"/>
        </w:rPr>
        <w:t>In this respect, the tribunal appoints the expert directly</w:t>
      </w:r>
    </w:p>
    <w:p w14:paraId="20C17FE3" w14:textId="66405F9A" w:rsidR="0019088D" w:rsidRDefault="0019088D" w:rsidP="005D230C">
      <w:pPr>
        <w:pStyle w:val="ListParagraph"/>
        <w:numPr>
          <w:ilvl w:val="0"/>
          <w:numId w:val="17"/>
        </w:numPr>
        <w:spacing w:line="360" w:lineRule="auto"/>
        <w:jc w:val="both"/>
        <w:rPr>
          <w:rFonts w:ascii="Arial" w:hAnsi="Arial" w:cs="Arial"/>
          <w:bCs/>
          <w:sz w:val="24"/>
          <w:szCs w:val="24"/>
        </w:rPr>
      </w:pPr>
      <w:r>
        <w:rPr>
          <w:rFonts w:ascii="Arial" w:hAnsi="Arial" w:cs="Arial"/>
          <w:bCs/>
          <w:sz w:val="24"/>
          <w:szCs w:val="24"/>
        </w:rPr>
        <w:t>The expert will be obligated to assist the tribunal by providing expert evidence</w:t>
      </w:r>
    </w:p>
    <w:p w14:paraId="4EA07CC6" w14:textId="771059EF" w:rsidR="0019088D" w:rsidRDefault="0019088D" w:rsidP="005D230C">
      <w:pPr>
        <w:pStyle w:val="ListParagraph"/>
        <w:numPr>
          <w:ilvl w:val="0"/>
          <w:numId w:val="17"/>
        </w:numPr>
        <w:spacing w:line="360" w:lineRule="auto"/>
        <w:jc w:val="both"/>
        <w:rPr>
          <w:rFonts w:ascii="Arial" w:hAnsi="Arial" w:cs="Arial"/>
          <w:bCs/>
          <w:sz w:val="24"/>
          <w:szCs w:val="24"/>
        </w:rPr>
      </w:pPr>
      <w:r>
        <w:rPr>
          <w:rFonts w:ascii="Arial" w:hAnsi="Arial" w:cs="Arial"/>
          <w:bCs/>
          <w:sz w:val="24"/>
          <w:szCs w:val="24"/>
        </w:rPr>
        <w:t>This is preferable from a cost and effectiveness point of view from the norm where each party appoints its own expert witness</w:t>
      </w:r>
    </w:p>
    <w:p w14:paraId="7ECA02E5" w14:textId="629984D9" w:rsidR="0019088D" w:rsidRPr="007C727B" w:rsidRDefault="0019088D" w:rsidP="005D230C">
      <w:pPr>
        <w:pStyle w:val="ListParagraph"/>
        <w:numPr>
          <w:ilvl w:val="0"/>
          <w:numId w:val="17"/>
        </w:numPr>
        <w:spacing w:line="360" w:lineRule="auto"/>
        <w:jc w:val="both"/>
        <w:rPr>
          <w:rFonts w:ascii="Arial" w:hAnsi="Arial" w:cs="Arial"/>
          <w:bCs/>
          <w:sz w:val="24"/>
          <w:szCs w:val="24"/>
        </w:rPr>
      </w:pPr>
      <w:r>
        <w:rPr>
          <w:rFonts w:ascii="Arial" w:hAnsi="Arial" w:cs="Arial"/>
          <w:bCs/>
          <w:sz w:val="24"/>
          <w:szCs w:val="24"/>
        </w:rPr>
        <w:t>Nonetheless, where each party appoints an expert those experts may be compelled to meet and provide a report indicating points of agreement and points of departure</w:t>
      </w:r>
    </w:p>
    <w:p w14:paraId="26255302" w14:textId="77777777" w:rsidR="0019088D" w:rsidRDefault="0019088D" w:rsidP="0019088D">
      <w:pPr>
        <w:pStyle w:val="ListParagraph"/>
        <w:numPr>
          <w:ilvl w:val="0"/>
          <w:numId w:val="17"/>
        </w:numPr>
        <w:spacing w:line="360" w:lineRule="auto"/>
        <w:jc w:val="both"/>
        <w:rPr>
          <w:rFonts w:ascii="Arial" w:hAnsi="Arial" w:cs="Arial"/>
          <w:bCs/>
          <w:sz w:val="24"/>
          <w:szCs w:val="24"/>
        </w:rPr>
      </w:pPr>
      <w:r>
        <w:rPr>
          <w:rFonts w:ascii="Arial" w:hAnsi="Arial" w:cs="Arial"/>
          <w:bCs/>
          <w:sz w:val="24"/>
          <w:szCs w:val="24"/>
        </w:rPr>
        <w:t>Where a joint report is provided or a single joint expert report provided the tribunal may direct inquiries at the expert/s to obtain oral evidence</w:t>
      </w:r>
    </w:p>
    <w:p w14:paraId="19BF1CEC" w14:textId="4F7B13D7" w:rsidR="0019088D" w:rsidRDefault="0019088D" w:rsidP="0019088D">
      <w:pPr>
        <w:pStyle w:val="ListParagraph"/>
        <w:numPr>
          <w:ilvl w:val="0"/>
          <w:numId w:val="17"/>
        </w:numPr>
        <w:spacing w:line="360" w:lineRule="auto"/>
        <w:jc w:val="both"/>
        <w:rPr>
          <w:rFonts w:ascii="Arial" w:hAnsi="Arial" w:cs="Arial"/>
          <w:bCs/>
          <w:sz w:val="24"/>
          <w:szCs w:val="24"/>
        </w:rPr>
      </w:pPr>
      <w:r>
        <w:rPr>
          <w:rFonts w:ascii="Arial" w:hAnsi="Arial" w:cs="Arial"/>
          <w:bCs/>
          <w:sz w:val="24"/>
          <w:szCs w:val="24"/>
        </w:rPr>
        <w:t>Alternatively, the tribunal may permit the cross examination of experts</w:t>
      </w:r>
    </w:p>
    <w:p w14:paraId="67258D36" w14:textId="77777777" w:rsidR="005D230C" w:rsidRDefault="005D230C" w:rsidP="005D230C">
      <w:pPr>
        <w:pStyle w:val="ListParagraph"/>
        <w:numPr>
          <w:ilvl w:val="0"/>
          <w:numId w:val="13"/>
        </w:numPr>
        <w:spacing w:line="360" w:lineRule="auto"/>
        <w:jc w:val="both"/>
        <w:rPr>
          <w:rFonts w:ascii="Arial" w:hAnsi="Arial" w:cs="Arial"/>
          <w:bCs/>
          <w:sz w:val="24"/>
          <w:szCs w:val="24"/>
        </w:rPr>
      </w:pPr>
      <w:r>
        <w:rPr>
          <w:rFonts w:ascii="Arial" w:hAnsi="Arial" w:cs="Arial"/>
          <w:bCs/>
          <w:sz w:val="24"/>
          <w:szCs w:val="24"/>
        </w:rPr>
        <w:t>A joint report can then be drafted after this meeting in which common ground can be listed and disagreements can be canvassed. This report would then be “with prejudice”.</w:t>
      </w:r>
    </w:p>
    <w:p w14:paraId="26A732DA" w14:textId="77777777" w:rsidR="005D230C" w:rsidRDefault="005D230C" w:rsidP="005D230C">
      <w:pPr>
        <w:pStyle w:val="ListParagraph"/>
        <w:numPr>
          <w:ilvl w:val="0"/>
          <w:numId w:val="13"/>
        </w:numPr>
        <w:spacing w:line="360" w:lineRule="auto"/>
        <w:jc w:val="both"/>
        <w:rPr>
          <w:rFonts w:ascii="Arial" w:hAnsi="Arial" w:cs="Arial"/>
          <w:bCs/>
          <w:sz w:val="24"/>
          <w:szCs w:val="24"/>
        </w:rPr>
      </w:pPr>
      <w:r>
        <w:rPr>
          <w:rFonts w:ascii="Arial" w:hAnsi="Arial" w:cs="Arial"/>
          <w:bCs/>
          <w:sz w:val="24"/>
          <w:szCs w:val="24"/>
        </w:rPr>
        <w:t>After this has been done the experts can draft their individual reports which will then only deal with the points on which they disagree.</w:t>
      </w:r>
    </w:p>
    <w:p w14:paraId="679A502A" w14:textId="77777777" w:rsidR="0019088D" w:rsidRDefault="005D230C" w:rsidP="0019088D">
      <w:pPr>
        <w:pStyle w:val="ListParagraph"/>
        <w:numPr>
          <w:ilvl w:val="0"/>
          <w:numId w:val="13"/>
        </w:numPr>
        <w:spacing w:line="360" w:lineRule="auto"/>
        <w:jc w:val="both"/>
        <w:rPr>
          <w:rFonts w:ascii="Arial" w:hAnsi="Arial" w:cs="Arial"/>
          <w:bCs/>
          <w:sz w:val="24"/>
          <w:szCs w:val="24"/>
        </w:rPr>
      </w:pPr>
      <w:r>
        <w:rPr>
          <w:rFonts w:ascii="Arial" w:hAnsi="Arial" w:cs="Arial"/>
          <w:bCs/>
          <w:sz w:val="24"/>
          <w:szCs w:val="24"/>
        </w:rPr>
        <w:t>The experts should then deliver a reply to each other’s reports. In this reply they would also state what the result would be if the factual evidence put forward by the opponent is accepted by the tribunal.</w:t>
      </w:r>
    </w:p>
    <w:p w14:paraId="4A77FB47" w14:textId="77777777" w:rsidR="000F50B3" w:rsidRDefault="000F50B3" w:rsidP="002F7310">
      <w:pPr>
        <w:spacing w:line="360" w:lineRule="auto"/>
        <w:jc w:val="both"/>
        <w:rPr>
          <w:rFonts w:ascii="Arial" w:hAnsi="Arial" w:cs="Arial"/>
          <w:b/>
          <w:bCs/>
          <w:sz w:val="24"/>
          <w:szCs w:val="24"/>
          <w:u w:val="single"/>
        </w:rPr>
      </w:pPr>
      <w:bookmarkStart w:id="4" w:name="_Hlk51955685"/>
    </w:p>
    <w:p w14:paraId="6C62EC33" w14:textId="3981FA9C" w:rsidR="00E92A66" w:rsidRDefault="00E92A66" w:rsidP="002F7310">
      <w:pPr>
        <w:spacing w:line="360" w:lineRule="auto"/>
        <w:jc w:val="both"/>
        <w:rPr>
          <w:rFonts w:ascii="Arial" w:hAnsi="Arial" w:cs="Arial"/>
          <w:b/>
          <w:bCs/>
          <w:sz w:val="24"/>
          <w:szCs w:val="24"/>
          <w:u w:val="single"/>
        </w:rPr>
      </w:pPr>
      <w:r w:rsidRPr="00351FBE">
        <w:rPr>
          <w:rFonts w:ascii="Arial" w:hAnsi="Arial" w:cs="Arial"/>
          <w:b/>
          <w:bCs/>
          <w:sz w:val="24"/>
          <w:szCs w:val="24"/>
          <w:u w:val="single"/>
        </w:rPr>
        <w:t>QUESTION 7</w:t>
      </w:r>
    </w:p>
    <w:p w14:paraId="1592C00A" w14:textId="7DD0CF98" w:rsidR="00216468" w:rsidRPr="00351FBE" w:rsidRDefault="00216468" w:rsidP="002F7310">
      <w:pPr>
        <w:spacing w:line="360" w:lineRule="auto"/>
        <w:jc w:val="both"/>
        <w:rPr>
          <w:rFonts w:ascii="Arial" w:hAnsi="Arial" w:cs="Arial"/>
          <w:b/>
          <w:bCs/>
          <w:sz w:val="24"/>
          <w:szCs w:val="24"/>
          <w:u w:val="single"/>
        </w:rPr>
      </w:pPr>
      <w:r>
        <w:rPr>
          <w:rFonts w:ascii="Arial" w:hAnsi="Arial" w:cs="Arial"/>
          <w:b/>
          <w:bCs/>
          <w:sz w:val="24"/>
          <w:szCs w:val="24"/>
          <w:u w:val="single"/>
        </w:rPr>
        <w:t>TRADITIONAL APPROACH</w:t>
      </w:r>
    </w:p>
    <w:p w14:paraId="3F557EDB" w14:textId="77777777" w:rsidR="00F159C0" w:rsidRDefault="00183E67" w:rsidP="00F159C0">
      <w:pPr>
        <w:numPr>
          <w:ilvl w:val="0"/>
          <w:numId w:val="6"/>
        </w:numPr>
        <w:spacing w:line="360" w:lineRule="auto"/>
        <w:ind w:left="714" w:hanging="357"/>
        <w:rPr>
          <w:rFonts w:ascii="Arial" w:hAnsi="Arial" w:cs="Arial"/>
          <w:sz w:val="24"/>
          <w:szCs w:val="24"/>
        </w:rPr>
      </w:pPr>
      <w:r w:rsidRPr="00183E67">
        <w:rPr>
          <w:rFonts w:ascii="Arial" w:hAnsi="Arial" w:cs="Arial"/>
          <w:sz w:val="24"/>
          <w:szCs w:val="24"/>
        </w:rPr>
        <w:t>The case is similar to the case of Clarke and others v Semenya and others</w:t>
      </w:r>
      <w:r w:rsidRPr="00183E67">
        <w:rPr>
          <w:rStyle w:val="FootnoteReference"/>
          <w:rFonts w:ascii="Arial" w:hAnsi="Arial" w:cs="Arial"/>
          <w:sz w:val="24"/>
          <w:szCs w:val="24"/>
        </w:rPr>
        <w:footnoteReference w:id="6"/>
      </w:r>
      <w:r>
        <w:rPr>
          <w:rFonts w:ascii="Arial" w:hAnsi="Arial" w:cs="Arial"/>
          <w:sz w:val="24"/>
          <w:szCs w:val="24"/>
        </w:rPr>
        <w:t xml:space="preserve"> in that the party </w:t>
      </w:r>
      <w:r w:rsidR="00F159C0">
        <w:rPr>
          <w:rFonts w:ascii="Arial" w:hAnsi="Arial" w:cs="Arial"/>
          <w:sz w:val="24"/>
          <w:szCs w:val="24"/>
        </w:rPr>
        <w:t>who brought the application (the claimant) in</w:t>
      </w:r>
      <w:r>
        <w:rPr>
          <w:rFonts w:ascii="Arial" w:hAnsi="Arial" w:cs="Arial"/>
          <w:sz w:val="24"/>
          <w:szCs w:val="24"/>
        </w:rPr>
        <w:t xml:space="preserve"> the claim is not outwardly successful. </w:t>
      </w:r>
    </w:p>
    <w:p w14:paraId="19BD0471" w14:textId="77777777" w:rsidR="00F159C0" w:rsidRDefault="00216468" w:rsidP="00F159C0">
      <w:pPr>
        <w:numPr>
          <w:ilvl w:val="0"/>
          <w:numId w:val="6"/>
        </w:numPr>
        <w:spacing w:line="360" w:lineRule="auto"/>
        <w:ind w:left="714" w:hanging="357"/>
        <w:rPr>
          <w:rFonts w:ascii="Arial" w:hAnsi="Arial" w:cs="Arial"/>
          <w:sz w:val="24"/>
          <w:szCs w:val="24"/>
        </w:rPr>
      </w:pPr>
      <w:r>
        <w:rPr>
          <w:rFonts w:ascii="Arial" w:hAnsi="Arial" w:cs="Arial"/>
          <w:sz w:val="24"/>
          <w:szCs w:val="24"/>
        </w:rPr>
        <w:lastRenderedPageBreak/>
        <w:t xml:space="preserve">In addition, in casu, the arbitrator also refrained from making costs orders against certain </w:t>
      </w:r>
      <w:r w:rsidR="004C0572">
        <w:rPr>
          <w:rFonts w:ascii="Arial" w:hAnsi="Arial" w:cs="Arial"/>
          <w:sz w:val="24"/>
          <w:szCs w:val="24"/>
        </w:rPr>
        <w:t>of the respondents in the matter. In addition, the arbitrator issued declaratory orders in favour of the applicant</w:t>
      </w:r>
      <w:r w:rsidR="00F159C0">
        <w:rPr>
          <w:rFonts w:ascii="Arial" w:hAnsi="Arial" w:cs="Arial"/>
          <w:sz w:val="24"/>
          <w:szCs w:val="24"/>
        </w:rPr>
        <w:t xml:space="preserve">. </w:t>
      </w:r>
    </w:p>
    <w:p w14:paraId="175B9595" w14:textId="77777777" w:rsidR="00F159C0" w:rsidRDefault="00F159C0" w:rsidP="00F159C0">
      <w:pPr>
        <w:numPr>
          <w:ilvl w:val="0"/>
          <w:numId w:val="6"/>
        </w:numPr>
        <w:spacing w:line="360" w:lineRule="auto"/>
        <w:ind w:left="714" w:hanging="357"/>
        <w:rPr>
          <w:rFonts w:ascii="Arial" w:hAnsi="Arial" w:cs="Arial"/>
          <w:sz w:val="24"/>
          <w:szCs w:val="24"/>
        </w:rPr>
      </w:pPr>
      <w:r w:rsidRPr="00F159C0">
        <w:rPr>
          <w:rFonts w:ascii="Arial" w:hAnsi="Arial" w:cs="Arial"/>
          <w:sz w:val="24"/>
          <w:szCs w:val="24"/>
        </w:rPr>
        <w:t xml:space="preserve">In the present case, the declaratory orders were rendered invalid because final relief was not granted to A. </w:t>
      </w:r>
    </w:p>
    <w:p w14:paraId="27E204C7" w14:textId="0920F1F1" w:rsidR="00216468" w:rsidRPr="00F159C0" w:rsidRDefault="00F159C0" w:rsidP="00F159C0">
      <w:pPr>
        <w:numPr>
          <w:ilvl w:val="0"/>
          <w:numId w:val="6"/>
        </w:numPr>
        <w:spacing w:line="360" w:lineRule="auto"/>
        <w:ind w:left="714" w:hanging="357"/>
        <w:rPr>
          <w:rFonts w:ascii="Arial" w:hAnsi="Arial" w:cs="Arial"/>
          <w:sz w:val="24"/>
          <w:szCs w:val="24"/>
        </w:rPr>
      </w:pPr>
      <w:r w:rsidRPr="00F159C0">
        <w:rPr>
          <w:rFonts w:ascii="Arial" w:hAnsi="Arial" w:cs="Arial"/>
          <w:sz w:val="24"/>
          <w:szCs w:val="24"/>
        </w:rPr>
        <w:t>In the Clarke case, the court held that this rendered the orders redundant</w:t>
      </w:r>
    </w:p>
    <w:p w14:paraId="5D11C341" w14:textId="7E8B896A" w:rsidR="00183E67" w:rsidRDefault="00183E67" w:rsidP="00183E67">
      <w:pPr>
        <w:pStyle w:val="ListParagraph"/>
        <w:numPr>
          <w:ilvl w:val="0"/>
          <w:numId w:val="6"/>
        </w:numPr>
        <w:spacing w:line="360" w:lineRule="auto"/>
        <w:jc w:val="both"/>
        <w:rPr>
          <w:rFonts w:ascii="Arial" w:hAnsi="Arial" w:cs="Arial"/>
          <w:sz w:val="24"/>
          <w:szCs w:val="24"/>
        </w:rPr>
      </w:pPr>
      <w:r>
        <w:rPr>
          <w:rFonts w:ascii="Arial" w:hAnsi="Arial" w:cs="Arial"/>
          <w:sz w:val="24"/>
          <w:szCs w:val="24"/>
        </w:rPr>
        <w:t xml:space="preserve">On the contrary, the courts and arbitration </w:t>
      </w:r>
      <w:r w:rsidR="00870A75">
        <w:rPr>
          <w:rFonts w:ascii="Arial" w:hAnsi="Arial" w:cs="Arial"/>
          <w:sz w:val="24"/>
          <w:szCs w:val="24"/>
        </w:rPr>
        <w:t>tribunals (based on standard rules) award costs to the successful party</w:t>
      </w:r>
      <w:r w:rsidR="00F159C0">
        <w:rPr>
          <w:rFonts w:ascii="Arial" w:hAnsi="Arial" w:cs="Arial"/>
          <w:sz w:val="24"/>
          <w:szCs w:val="24"/>
        </w:rPr>
        <w:t xml:space="preserve"> in a matter</w:t>
      </w:r>
    </w:p>
    <w:p w14:paraId="0CDBA11F" w14:textId="146262B7" w:rsidR="00870A75" w:rsidRDefault="00870A75" w:rsidP="00183E67">
      <w:pPr>
        <w:pStyle w:val="ListParagraph"/>
        <w:numPr>
          <w:ilvl w:val="0"/>
          <w:numId w:val="6"/>
        </w:numPr>
        <w:spacing w:line="360" w:lineRule="auto"/>
        <w:jc w:val="both"/>
        <w:rPr>
          <w:rFonts w:ascii="Arial" w:hAnsi="Arial" w:cs="Arial"/>
          <w:sz w:val="24"/>
          <w:szCs w:val="24"/>
        </w:rPr>
      </w:pPr>
      <w:r>
        <w:rPr>
          <w:rFonts w:ascii="Arial" w:hAnsi="Arial" w:cs="Arial"/>
          <w:sz w:val="24"/>
          <w:szCs w:val="24"/>
        </w:rPr>
        <w:t>Success needs not to be outright but merely substantial</w:t>
      </w:r>
    </w:p>
    <w:p w14:paraId="1D71C114" w14:textId="3810ACA2" w:rsidR="00F159C0" w:rsidRDefault="00F159C0" w:rsidP="00183E67">
      <w:pPr>
        <w:pStyle w:val="ListParagraph"/>
        <w:numPr>
          <w:ilvl w:val="0"/>
          <w:numId w:val="6"/>
        </w:numPr>
        <w:spacing w:line="360" w:lineRule="auto"/>
        <w:jc w:val="both"/>
        <w:rPr>
          <w:rFonts w:ascii="Arial" w:hAnsi="Arial" w:cs="Arial"/>
          <w:sz w:val="24"/>
          <w:szCs w:val="24"/>
        </w:rPr>
      </w:pPr>
      <w:r>
        <w:rPr>
          <w:rFonts w:ascii="Arial" w:hAnsi="Arial" w:cs="Arial"/>
          <w:sz w:val="24"/>
          <w:szCs w:val="24"/>
        </w:rPr>
        <w:t>The matter was brought to the court for determination</w:t>
      </w:r>
    </w:p>
    <w:p w14:paraId="72BB9B90" w14:textId="4A2536DA" w:rsidR="00F159C0" w:rsidRDefault="00F159C0" w:rsidP="00183E67">
      <w:pPr>
        <w:pStyle w:val="ListParagraph"/>
        <w:numPr>
          <w:ilvl w:val="0"/>
          <w:numId w:val="6"/>
        </w:numPr>
        <w:spacing w:line="360" w:lineRule="auto"/>
        <w:jc w:val="both"/>
        <w:rPr>
          <w:rFonts w:ascii="Arial" w:hAnsi="Arial" w:cs="Arial"/>
          <w:sz w:val="24"/>
          <w:szCs w:val="24"/>
        </w:rPr>
      </w:pPr>
      <w:r>
        <w:rPr>
          <w:rFonts w:ascii="Arial" w:hAnsi="Arial" w:cs="Arial"/>
          <w:sz w:val="24"/>
          <w:szCs w:val="24"/>
        </w:rPr>
        <w:t>The court did not agree with the arbitrator</w:t>
      </w:r>
    </w:p>
    <w:p w14:paraId="10B624D6" w14:textId="0F704A2F" w:rsidR="00F159C0" w:rsidRDefault="00F159C0" w:rsidP="00183E67">
      <w:pPr>
        <w:pStyle w:val="ListParagraph"/>
        <w:numPr>
          <w:ilvl w:val="0"/>
          <w:numId w:val="6"/>
        </w:numPr>
        <w:spacing w:line="360" w:lineRule="auto"/>
        <w:jc w:val="both"/>
        <w:rPr>
          <w:rFonts w:ascii="Arial" w:hAnsi="Arial" w:cs="Arial"/>
          <w:sz w:val="24"/>
          <w:szCs w:val="24"/>
        </w:rPr>
      </w:pPr>
      <w:r>
        <w:rPr>
          <w:rFonts w:ascii="Arial" w:hAnsi="Arial" w:cs="Arial"/>
          <w:sz w:val="24"/>
          <w:szCs w:val="24"/>
        </w:rPr>
        <w:t xml:space="preserve">In that respect the court </w:t>
      </w:r>
      <w:r w:rsidRPr="00F159C0">
        <w:rPr>
          <w:rFonts w:ascii="Arial" w:hAnsi="Arial" w:cs="Arial"/>
          <w:sz w:val="24"/>
          <w:szCs w:val="24"/>
        </w:rPr>
        <w:t>propose</w:t>
      </w:r>
      <w:r>
        <w:rPr>
          <w:rFonts w:ascii="Arial" w:hAnsi="Arial" w:cs="Arial"/>
          <w:sz w:val="24"/>
          <w:szCs w:val="24"/>
        </w:rPr>
        <w:t>d that</w:t>
      </w:r>
      <w:r w:rsidRPr="00F159C0">
        <w:rPr>
          <w:rFonts w:ascii="Arial" w:hAnsi="Arial" w:cs="Arial"/>
          <w:sz w:val="24"/>
          <w:szCs w:val="24"/>
        </w:rPr>
        <w:t xml:space="preserve"> the costs award be reconsidered by the arbitrator </w:t>
      </w:r>
      <w:r>
        <w:rPr>
          <w:rFonts w:ascii="Arial" w:hAnsi="Arial" w:cs="Arial"/>
          <w:sz w:val="24"/>
          <w:szCs w:val="24"/>
        </w:rPr>
        <w:t xml:space="preserve">in terms of </w:t>
      </w:r>
      <w:r w:rsidRPr="00F159C0">
        <w:rPr>
          <w:rFonts w:ascii="Arial" w:hAnsi="Arial" w:cs="Arial"/>
          <w:i/>
          <w:iCs/>
          <w:sz w:val="24"/>
          <w:szCs w:val="24"/>
        </w:rPr>
        <w:t xml:space="preserve">John Sisk &amp; Son (SA) v Urban Foundation and Another </w:t>
      </w:r>
      <w:r w:rsidRPr="00F159C0">
        <w:rPr>
          <w:rFonts w:ascii="Arial" w:hAnsi="Arial" w:cs="Arial"/>
          <w:sz w:val="24"/>
          <w:szCs w:val="24"/>
        </w:rPr>
        <w:t>1985 (4) SA 349 (N) 359E-H</w:t>
      </w:r>
    </w:p>
    <w:p w14:paraId="23544D73" w14:textId="146F7EDB" w:rsidR="00216468" w:rsidRPr="00F159C0" w:rsidRDefault="00F159C0" w:rsidP="00216468">
      <w:pPr>
        <w:spacing w:line="360" w:lineRule="auto"/>
        <w:jc w:val="both"/>
        <w:rPr>
          <w:rFonts w:ascii="Arial" w:hAnsi="Arial" w:cs="Arial"/>
          <w:b/>
          <w:bCs/>
          <w:sz w:val="24"/>
          <w:szCs w:val="24"/>
          <w:u w:val="single"/>
        </w:rPr>
      </w:pPr>
      <w:r w:rsidRPr="00F159C0">
        <w:rPr>
          <w:rFonts w:ascii="Arial" w:hAnsi="Arial" w:cs="Arial"/>
          <w:b/>
          <w:bCs/>
          <w:sz w:val="24"/>
          <w:szCs w:val="24"/>
          <w:u w:val="single"/>
        </w:rPr>
        <w:t>CURRENT MATTER</w:t>
      </w:r>
    </w:p>
    <w:p w14:paraId="33C9331B" w14:textId="77777777" w:rsidR="00F159C0" w:rsidRDefault="00870A75" w:rsidP="00870A75">
      <w:pPr>
        <w:pStyle w:val="ListParagraph"/>
        <w:numPr>
          <w:ilvl w:val="0"/>
          <w:numId w:val="6"/>
        </w:numPr>
        <w:spacing w:line="360" w:lineRule="auto"/>
        <w:jc w:val="both"/>
        <w:rPr>
          <w:rFonts w:ascii="Arial" w:hAnsi="Arial" w:cs="Arial"/>
          <w:bCs/>
          <w:sz w:val="24"/>
          <w:szCs w:val="24"/>
        </w:rPr>
      </w:pPr>
      <w:r w:rsidRPr="00870A75">
        <w:rPr>
          <w:rFonts w:ascii="Arial" w:hAnsi="Arial" w:cs="Arial"/>
          <w:bCs/>
          <w:sz w:val="24"/>
          <w:szCs w:val="24"/>
        </w:rPr>
        <w:t>In the current matter I do not agree with the Arbitrator’s award on costs</w:t>
      </w:r>
      <w:r w:rsidR="00F159C0">
        <w:rPr>
          <w:rFonts w:ascii="Arial" w:hAnsi="Arial" w:cs="Arial"/>
          <w:bCs/>
          <w:sz w:val="24"/>
          <w:szCs w:val="24"/>
        </w:rPr>
        <w:t xml:space="preserve"> in that </w:t>
      </w:r>
      <w:r w:rsidRPr="00870A75">
        <w:rPr>
          <w:rFonts w:ascii="Arial" w:hAnsi="Arial" w:cs="Arial"/>
          <w:bCs/>
          <w:sz w:val="24"/>
          <w:szCs w:val="24"/>
        </w:rPr>
        <w:t xml:space="preserve">“A” </w:t>
      </w:r>
      <w:r w:rsidR="00F159C0">
        <w:rPr>
          <w:rFonts w:ascii="Arial" w:hAnsi="Arial" w:cs="Arial"/>
          <w:bCs/>
          <w:sz w:val="24"/>
          <w:szCs w:val="24"/>
        </w:rPr>
        <w:t>was not substantially or outrightly successful</w:t>
      </w:r>
    </w:p>
    <w:p w14:paraId="2E1E52B5" w14:textId="323935D6" w:rsidR="00A63A93" w:rsidRDefault="00A63A93" w:rsidP="00870A75">
      <w:pPr>
        <w:pStyle w:val="ListParagraph"/>
        <w:numPr>
          <w:ilvl w:val="0"/>
          <w:numId w:val="6"/>
        </w:numPr>
        <w:spacing w:line="360" w:lineRule="auto"/>
        <w:jc w:val="both"/>
        <w:rPr>
          <w:rFonts w:ascii="Arial" w:hAnsi="Arial" w:cs="Arial"/>
          <w:bCs/>
          <w:sz w:val="24"/>
          <w:szCs w:val="24"/>
        </w:rPr>
      </w:pPr>
      <w:r>
        <w:rPr>
          <w:rFonts w:ascii="Arial" w:hAnsi="Arial" w:cs="Arial"/>
          <w:bCs/>
          <w:sz w:val="24"/>
          <w:szCs w:val="24"/>
        </w:rPr>
        <w:t>While ‘’A’’ requested a declaratory order, it was premised on two legs</w:t>
      </w:r>
    </w:p>
    <w:p w14:paraId="0793CF8F" w14:textId="77777777" w:rsidR="00A63A93" w:rsidRDefault="00A63A93" w:rsidP="00870A75">
      <w:pPr>
        <w:pStyle w:val="ListParagraph"/>
        <w:numPr>
          <w:ilvl w:val="0"/>
          <w:numId w:val="6"/>
        </w:numPr>
        <w:spacing w:line="360" w:lineRule="auto"/>
        <w:jc w:val="both"/>
        <w:rPr>
          <w:rFonts w:ascii="Arial" w:hAnsi="Arial" w:cs="Arial"/>
          <w:bCs/>
          <w:sz w:val="24"/>
          <w:szCs w:val="24"/>
        </w:rPr>
      </w:pPr>
      <w:r>
        <w:rPr>
          <w:rFonts w:ascii="Arial" w:hAnsi="Arial" w:cs="Arial"/>
          <w:bCs/>
          <w:sz w:val="24"/>
          <w:szCs w:val="24"/>
        </w:rPr>
        <w:t xml:space="preserve">The primary order dealt with a request </w:t>
      </w:r>
      <w:r w:rsidR="00870A75" w:rsidRPr="00870A75">
        <w:rPr>
          <w:rFonts w:ascii="Arial" w:hAnsi="Arial" w:cs="Arial"/>
          <w:bCs/>
          <w:sz w:val="24"/>
          <w:szCs w:val="24"/>
        </w:rPr>
        <w:t xml:space="preserve">that “X”, “Y” and “Z” had breached the shareholders agreement </w:t>
      </w:r>
    </w:p>
    <w:p w14:paraId="6E70CD0D" w14:textId="77777777" w:rsidR="00A63A93" w:rsidRDefault="00A63A93" w:rsidP="00870A75">
      <w:pPr>
        <w:pStyle w:val="ListParagraph"/>
        <w:numPr>
          <w:ilvl w:val="0"/>
          <w:numId w:val="6"/>
        </w:numPr>
        <w:spacing w:line="360" w:lineRule="auto"/>
        <w:jc w:val="both"/>
        <w:rPr>
          <w:rFonts w:ascii="Arial" w:hAnsi="Arial" w:cs="Arial"/>
          <w:bCs/>
          <w:sz w:val="24"/>
          <w:szCs w:val="24"/>
        </w:rPr>
      </w:pPr>
      <w:r>
        <w:rPr>
          <w:rFonts w:ascii="Arial" w:hAnsi="Arial" w:cs="Arial"/>
          <w:bCs/>
          <w:sz w:val="24"/>
          <w:szCs w:val="24"/>
        </w:rPr>
        <w:t xml:space="preserve">The secondary issue was </w:t>
      </w:r>
      <w:r w:rsidR="00870A75" w:rsidRPr="00870A75">
        <w:rPr>
          <w:rFonts w:ascii="Arial" w:hAnsi="Arial" w:cs="Arial"/>
          <w:bCs/>
          <w:sz w:val="24"/>
          <w:szCs w:val="24"/>
        </w:rPr>
        <w:t>that “A” had validly accepted the offer by “X’, “Y” and “Z” to acquire their shares</w:t>
      </w:r>
    </w:p>
    <w:p w14:paraId="69F5AF3D" w14:textId="1150A010" w:rsidR="00022FB5" w:rsidRDefault="00870A75" w:rsidP="00870A75">
      <w:pPr>
        <w:pStyle w:val="ListParagraph"/>
        <w:numPr>
          <w:ilvl w:val="0"/>
          <w:numId w:val="6"/>
        </w:numPr>
        <w:spacing w:line="360" w:lineRule="auto"/>
        <w:jc w:val="both"/>
        <w:rPr>
          <w:rFonts w:ascii="Arial" w:hAnsi="Arial" w:cs="Arial"/>
          <w:bCs/>
          <w:sz w:val="24"/>
          <w:szCs w:val="24"/>
        </w:rPr>
      </w:pPr>
      <w:r w:rsidRPr="00870A75">
        <w:rPr>
          <w:rFonts w:ascii="Arial" w:hAnsi="Arial" w:cs="Arial"/>
          <w:bCs/>
          <w:sz w:val="24"/>
          <w:szCs w:val="24"/>
        </w:rPr>
        <w:t xml:space="preserve"> </w:t>
      </w:r>
      <w:r w:rsidR="00022FB5">
        <w:rPr>
          <w:rFonts w:ascii="Arial" w:hAnsi="Arial" w:cs="Arial"/>
          <w:bCs/>
          <w:sz w:val="24"/>
          <w:szCs w:val="24"/>
        </w:rPr>
        <w:t>A was successful in the first order but not in the second order</w:t>
      </w:r>
    </w:p>
    <w:p w14:paraId="5D1944AD" w14:textId="51BD89F9" w:rsidR="00022FB5" w:rsidRDefault="00022FB5" w:rsidP="00870A75">
      <w:pPr>
        <w:pStyle w:val="ListParagraph"/>
        <w:numPr>
          <w:ilvl w:val="0"/>
          <w:numId w:val="6"/>
        </w:numPr>
        <w:spacing w:line="360" w:lineRule="auto"/>
        <w:jc w:val="both"/>
        <w:rPr>
          <w:rFonts w:ascii="Arial" w:hAnsi="Arial" w:cs="Arial"/>
          <w:bCs/>
          <w:sz w:val="24"/>
          <w:szCs w:val="24"/>
        </w:rPr>
      </w:pPr>
      <w:r>
        <w:rPr>
          <w:rFonts w:ascii="Arial" w:hAnsi="Arial" w:cs="Arial"/>
          <w:bCs/>
          <w:sz w:val="24"/>
          <w:szCs w:val="24"/>
        </w:rPr>
        <w:t>As such, this made the first order redundant</w:t>
      </w:r>
    </w:p>
    <w:p w14:paraId="3840F31C" w14:textId="591C2DE4" w:rsidR="00022FB5" w:rsidRPr="00193ABB" w:rsidRDefault="00022FB5" w:rsidP="00193ABB">
      <w:pPr>
        <w:pStyle w:val="ListParagraph"/>
        <w:numPr>
          <w:ilvl w:val="0"/>
          <w:numId w:val="6"/>
        </w:numPr>
        <w:spacing w:line="360" w:lineRule="auto"/>
        <w:jc w:val="both"/>
        <w:rPr>
          <w:rFonts w:ascii="Arial" w:hAnsi="Arial" w:cs="Arial"/>
          <w:bCs/>
          <w:sz w:val="24"/>
          <w:szCs w:val="24"/>
        </w:rPr>
      </w:pPr>
      <w:r>
        <w:rPr>
          <w:rFonts w:ascii="Arial" w:hAnsi="Arial" w:cs="Arial"/>
          <w:bCs/>
          <w:sz w:val="24"/>
          <w:szCs w:val="24"/>
        </w:rPr>
        <w:t>As such, costs ought to have been ordered against A premised on the principle that he who alleges must prove</w:t>
      </w:r>
    </w:p>
    <w:p w14:paraId="7FFADCDC" w14:textId="1F6C38E0" w:rsidR="00193ABB" w:rsidRPr="00193ABB" w:rsidRDefault="00193ABB" w:rsidP="00193ABB">
      <w:pPr>
        <w:spacing w:line="360" w:lineRule="auto"/>
        <w:jc w:val="both"/>
        <w:rPr>
          <w:rFonts w:ascii="Arial" w:hAnsi="Arial" w:cs="Arial"/>
          <w:b/>
          <w:sz w:val="24"/>
          <w:szCs w:val="24"/>
          <w:u w:val="single"/>
        </w:rPr>
      </w:pPr>
      <w:r w:rsidRPr="00193ABB">
        <w:rPr>
          <w:rFonts w:ascii="Arial" w:hAnsi="Arial" w:cs="Arial"/>
          <w:b/>
          <w:sz w:val="24"/>
          <w:szCs w:val="24"/>
          <w:u w:val="single"/>
        </w:rPr>
        <w:t>REVIEWABLE C</w:t>
      </w:r>
      <w:r w:rsidR="000F50B3">
        <w:rPr>
          <w:rFonts w:ascii="Arial" w:hAnsi="Arial" w:cs="Arial"/>
          <w:b/>
          <w:sz w:val="24"/>
          <w:szCs w:val="24"/>
          <w:u w:val="single"/>
        </w:rPr>
        <w:t>OSTS ORDER</w:t>
      </w:r>
    </w:p>
    <w:p w14:paraId="3724D23E" w14:textId="219A59A4" w:rsidR="000F50B3" w:rsidRDefault="000F50B3" w:rsidP="00870A75">
      <w:pPr>
        <w:pStyle w:val="ListParagraph"/>
        <w:numPr>
          <w:ilvl w:val="0"/>
          <w:numId w:val="6"/>
        </w:numPr>
        <w:spacing w:line="360" w:lineRule="auto"/>
        <w:jc w:val="both"/>
        <w:rPr>
          <w:rFonts w:ascii="Arial" w:hAnsi="Arial" w:cs="Arial"/>
          <w:bCs/>
          <w:sz w:val="24"/>
          <w:szCs w:val="24"/>
        </w:rPr>
      </w:pPr>
      <w:bookmarkStart w:id="5" w:name="_Hlk51863190"/>
      <w:r>
        <w:rPr>
          <w:rFonts w:ascii="Arial" w:hAnsi="Arial" w:cs="Arial"/>
          <w:bCs/>
          <w:sz w:val="24"/>
          <w:szCs w:val="24"/>
        </w:rPr>
        <w:t>In terms of s</w:t>
      </w:r>
      <w:r w:rsidR="00870A75" w:rsidRPr="00870A75">
        <w:rPr>
          <w:rFonts w:ascii="Arial" w:hAnsi="Arial" w:cs="Arial"/>
          <w:bCs/>
          <w:sz w:val="24"/>
          <w:szCs w:val="24"/>
        </w:rPr>
        <w:t xml:space="preserve">ection 33(1) of the Arbitration Act 42 of 1965 a court </w:t>
      </w:r>
      <w:r>
        <w:rPr>
          <w:rFonts w:ascii="Arial" w:hAnsi="Arial" w:cs="Arial"/>
          <w:bCs/>
          <w:sz w:val="24"/>
          <w:szCs w:val="24"/>
        </w:rPr>
        <w:t xml:space="preserve">is allowed </w:t>
      </w:r>
      <w:r w:rsidR="00DE447B">
        <w:rPr>
          <w:rFonts w:ascii="Arial" w:hAnsi="Arial" w:cs="Arial"/>
          <w:bCs/>
          <w:sz w:val="24"/>
          <w:szCs w:val="24"/>
        </w:rPr>
        <w:t xml:space="preserve">to </w:t>
      </w:r>
      <w:r w:rsidR="00DE447B" w:rsidRPr="00870A75">
        <w:rPr>
          <w:rFonts w:ascii="Arial" w:hAnsi="Arial" w:cs="Arial"/>
          <w:bCs/>
          <w:sz w:val="24"/>
          <w:szCs w:val="24"/>
        </w:rPr>
        <w:t>set</w:t>
      </w:r>
      <w:r w:rsidR="00870A75" w:rsidRPr="00870A75">
        <w:rPr>
          <w:rFonts w:ascii="Arial" w:hAnsi="Arial" w:cs="Arial"/>
          <w:bCs/>
          <w:sz w:val="24"/>
          <w:szCs w:val="24"/>
        </w:rPr>
        <w:t xml:space="preserve"> aside an award if any member of the arbitral tribunal has misconducted </w:t>
      </w:r>
      <w:r w:rsidR="00870A75" w:rsidRPr="00870A75">
        <w:rPr>
          <w:rFonts w:ascii="Arial" w:hAnsi="Arial" w:cs="Arial"/>
          <w:bCs/>
          <w:sz w:val="24"/>
          <w:szCs w:val="24"/>
        </w:rPr>
        <w:lastRenderedPageBreak/>
        <w:t>itself, committed a gross irregularity, or exceeded its powers or improperly obtained the award</w:t>
      </w:r>
    </w:p>
    <w:p w14:paraId="396DA3C6" w14:textId="7209D3EC" w:rsidR="00DE447B" w:rsidRDefault="00DE447B" w:rsidP="00870A75">
      <w:pPr>
        <w:pStyle w:val="ListParagraph"/>
        <w:numPr>
          <w:ilvl w:val="0"/>
          <w:numId w:val="6"/>
        </w:numPr>
        <w:spacing w:line="360" w:lineRule="auto"/>
        <w:jc w:val="both"/>
        <w:rPr>
          <w:rFonts w:ascii="Arial" w:hAnsi="Arial" w:cs="Arial"/>
          <w:bCs/>
          <w:sz w:val="24"/>
          <w:szCs w:val="24"/>
        </w:rPr>
      </w:pPr>
      <w:r>
        <w:rPr>
          <w:rFonts w:ascii="Arial" w:hAnsi="Arial" w:cs="Arial"/>
          <w:bCs/>
          <w:sz w:val="24"/>
          <w:szCs w:val="24"/>
        </w:rPr>
        <w:t>Alternatively, in terms of section 33(2), an arbitral award for costs may be remitted to the arbitrator on good cause shown</w:t>
      </w:r>
    </w:p>
    <w:p w14:paraId="527715B5" w14:textId="48376AB6" w:rsidR="00DE447B" w:rsidRPr="00DE447B" w:rsidRDefault="00DE447B" w:rsidP="00DE447B">
      <w:pPr>
        <w:pStyle w:val="ListParagraph"/>
        <w:numPr>
          <w:ilvl w:val="0"/>
          <w:numId w:val="6"/>
        </w:numPr>
        <w:spacing w:line="360" w:lineRule="auto"/>
        <w:jc w:val="both"/>
        <w:rPr>
          <w:rFonts w:ascii="Arial" w:hAnsi="Arial" w:cs="Arial"/>
          <w:bCs/>
          <w:sz w:val="24"/>
          <w:szCs w:val="24"/>
        </w:rPr>
      </w:pPr>
      <w:r>
        <w:rPr>
          <w:rFonts w:ascii="Arial" w:hAnsi="Arial" w:cs="Arial"/>
          <w:bCs/>
          <w:sz w:val="24"/>
          <w:szCs w:val="24"/>
        </w:rPr>
        <w:t xml:space="preserve">In the case of </w:t>
      </w:r>
      <w:r w:rsidRPr="00DE447B">
        <w:rPr>
          <w:rFonts w:ascii="Arial" w:hAnsi="Arial" w:cs="Arial"/>
          <w:bCs/>
          <w:sz w:val="24"/>
          <w:szCs w:val="24"/>
        </w:rPr>
        <w:t>South African Forestry Co Ltd v York Timbers 2003 (1) SA 331 (SCA) para [14]</w:t>
      </w:r>
      <w:r>
        <w:rPr>
          <w:rFonts w:ascii="Arial" w:hAnsi="Arial" w:cs="Arial"/>
          <w:bCs/>
          <w:sz w:val="24"/>
          <w:szCs w:val="24"/>
        </w:rPr>
        <w:t>, the court held that, good cause</w:t>
      </w:r>
    </w:p>
    <w:p w14:paraId="46CFAD05" w14:textId="410BC7DC" w:rsidR="00DE447B" w:rsidRPr="00DE447B" w:rsidRDefault="00DE447B" w:rsidP="00DE447B">
      <w:pPr>
        <w:pStyle w:val="ListParagraph"/>
        <w:numPr>
          <w:ilvl w:val="0"/>
          <w:numId w:val="6"/>
        </w:numPr>
        <w:spacing w:line="360" w:lineRule="auto"/>
        <w:jc w:val="both"/>
        <w:rPr>
          <w:rFonts w:ascii="Arial" w:hAnsi="Arial" w:cs="Arial"/>
          <w:bCs/>
          <w:i/>
          <w:iCs/>
          <w:sz w:val="24"/>
          <w:szCs w:val="24"/>
        </w:rPr>
      </w:pPr>
      <w:r w:rsidRPr="00DE447B">
        <w:rPr>
          <w:rFonts w:ascii="Arial" w:hAnsi="Arial" w:cs="Arial"/>
          <w:bCs/>
          <w:i/>
          <w:iCs/>
          <w:sz w:val="24"/>
          <w:szCs w:val="24"/>
        </w:rPr>
        <w:t>‘’</w:t>
      </w:r>
      <w:r w:rsidRPr="00DE447B">
        <w:rPr>
          <w:rFonts w:ascii="Arial" w:hAnsi="Arial" w:cs="Arial"/>
          <w:bCs/>
          <w:i/>
          <w:iCs/>
          <w:sz w:val="24"/>
          <w:szCs w:val="24"/>
        </w:rPr>
        <w:t>…is a phrase of wide import that requires the Court to consider each case on its merits in order to achieve a just and equitable result in the particular circumstances</w:t>
      </w:r>
      <w:r>
        <w:rPr>
          <w:rFonts w:ascii="Arial" w:hAnsi="Arial" w:cs="Arial"/>
          <w:bCs/>
          <w:i/>
          <w:iCs/>
          <w:sz w:val="24"/>
          <w:szCs w:val="24"/>
        </w:rPr>
        <w:t>’’</w:t>
      </w:r>
    </w:p>
    <w:p w14:paraId="0B51C4BA" w14:textId="7BFF1BEF" w:rsidR="00DE447B" w:rsidRDefault="000F50B3" w:rsidP="00870A75">
      <w:pPr>
        <w:pStyle w:val="ListParagraph"/>
        <w:numPr>
          <w:ilvl w:val="0"/>
          <w:numId w:val="6"/>
        </w:numPr>
        <w:spacing w:line="360" w:lineRule="auto"/>
        <w:jc w:val="both"/>
        <w:rPr>
          <w:rFonts w:ascii="Arial" w:hAnsi="Arial" w:cs="Arial"/>
          <w:bCs/>
          <w:sz w:val="24"/>
          <w:szCs w:val="24"/>
        </w:rPr>
      </w:pPr>
      <w:r>
        <w:rPr>
          <w:rFonts w:ascii="Arial" w:hAnsi="Arial" w:cs="Arial"/>
          <w:bCs/>
          <w:sz w:val="24"/>
          <w:szCs w:val="24"/>
        </w:rPr>
        <w:t>In casu, there is no evidence of misconduct in this regard</w:t>
      </w:r>
    </w:p>
    <w:p w14:paraId="67124332" w14:textId="77777777" w:rsidR="00564722" w:rsidRDefault="00564722" w:rsidP="00564722">
      <w:pPr>
        <w:pStyle w:val="ListParagraph"/>
        <w:numPr>
          <w:ilvl w:val="0"/>
          <w:numId w:val="6"/>
        </w:numPr>
        <w:spacing w:line="360" w:lineRule="auto"/>
        <w:jc w:val="both"/>
        <w:rPr>
          <w:rFonts w:ascii="Arial" w:hAnsi="Arial" w:cs="Arial"/>
          <w:bCs/>
          <w:sz w:val="24"/>
          <w:szCs w:val="24"/>
        </w:rPr>
      </w:pPr>
      <w:r>
        <w:rPr>
          <w:rFonts w:ascii="Arial" w:hAnsi="Arial" w:cs="Arial"/>
          <w:bCs/>
          <w:sz w:val="24"/>
          <w:szCs w:val="24"/>
        </w:rPr>
        <w:t>There is however indicative evidence of goo cause</w:t>
      </w:r>
    </w:p>
    <w:bookmarkEnd w:id="5"/>
    <w:p w14:paraId="577992A5" w14:textId="6FE9453A" w:rsidR="00564722" w:rsidRDefault="00564722" w:rsidP="00564722">
      <w:pPr>
        <w:pStyle w:val="ListParagraph"/>
        <w:numPr>
          <w:ilvl w:val="0"/>
          <w:numId w:val="6"/>
        </w:numPr>
        <w:spacing w:line="360" w:lineRule="auto"/>
        <w:jc w:val="both"/>
        <w:rPr>
          <w:rFonts w:ascii="Arial" w:hAnsi="Arial" w:cs="Arial"/>
          <w:bCs/>
          <w:sz w:val="24"/>
          <w:szCs w:val="24"/>
        </w:rPr>
      </w:pPr>
      <w:r>
        <w:rPr>
          <w:rFonts w:ascii="Arial" w:hAnsi="Arial" w:cs="Arial"/>
          <w:bCs/>
          <w:sz w:val="24"/>
          <w:szCs w:val="24"/>
        </w:rPr>
        <w:t>I</w:t>
      </w:r>
      <w:r w:rsidR="00870A75" w:rsidRPr="00564722">
        <w:rPr>
          <w:rFonts w:ascii="Arial" w:hAnsi="Arial" w:cs="Arial"/>
          <w:bCs/>
          <w:sz w:val="24"/>
          <w:szCs w:val="24"/>
        </w:rPr>
        <w:t>n</w:t>
      </w:r>
      <w:r>
        <w:rPr>
          <w:rFonts w:ascii="Arial" w:hAnsi="Arial" w:cs="Arial"/>
          <w:bCs/>
          <w:sz w:val="24"/>
          <w:szCs w:val="24"/>
        </w:rPr>
        <w:t xml:space="preserve"> terms of</w:t>
      </w:r>
      <w:r w:rsidR="00870A75" w:rsidRPr="00564722">
        <w:rPr>
          <w:rFonts w:ascii="Arial" w:hAnsi="Arial" w:cs="Arial"/>
          <w:bCs/>
          <w:sz w:val="24"/>
          <w:szCs w:val="24"/>
        </w:rPr>
        <w:t xml:space="preserve"> </w:t>
      </w:r>
      <w:proofErr w:type="spellStart"/>
      <w:r w:rsidR="00870A75" w:rsidRPr="00564722">
        <w:rPr>
          <w:rFonts w:ascii="Arial" w:hAnsi="Arial" w:cs="Arial"/>
          <w:bCs/>
          <w:i/>
          <w:iCs/>
          <w:sz w:val="24"/>
          <w:szCs w:val="24"/>
        </w:rPr>
        <w:t>Leadtrain</w:t>
      </w:r>
      <w:proofErr w:type="spellEnd"/>
      <w:r w:rsidR="00870A75" w:rsidRPr="00564722">
        <w:rPr>
          <w:rFonts w:ascii="Arial" w:hAnsi="Arial" w:cs="Arial"/>
          <w:bCs/>
          <w:i/>
          <w:iCs/>
          <w:sz w:val="24"/>
          <w:szCs w:val="24"/>
        </w:rPr>
        <w:t xml:space="preserve"> Assessments v </w:t>
      </w:r>
      <w:proofErr w:type="spellStart"/>
      <w:r w:rsidR="00870A75" w:rsidRPr="00564722">
        <w:rPr>
          <w:rFonts w:ascii="Arial" w:hAnsi="Arial" w:cs="Arial"/>
          <w:bCs/>
          <w:i/>
          <w:iCs/>
          <w:sz w:val="24"/>
          <w:szCs w:val="24"/>
        </w:rPr>
        <w:t>Leadtrain</w:t>
      </w:r>
      <w:proofErr w:type="spellEnd"/>
      <w:r w:rsidR="00870A75">
        <w:rPr>
          <w:rStyle w:val="FootnoteReference"/>
          <w:rFonts w:ascii="Arial" w:hAnsi="Arial" w:cs="Arial"/>
          <w:bCs/>
          <w:i/>
          <w:iCs/>
          <w:sz w:val="24"/>
          <w:szCs w:val="24"/>
        </w:rPr>
        <w:footnoteReference w:id="7"/>
      </w:r>
      <w:r w:rsidR="00870A75" w:rsidRPr="00564722">
        <w:rPr>
          <w:rFonts w:ascii="Arial" w:hAnsi="Arial" w:cs="Arial"/>
          <w:bCs/>
          <w:sz w:val="24"/>
          <w:szCs w:val="24"/>
        </w:rPr>
        <w:t xml:space="preserve"> the Court </w:t>
      </w:r>
      <w:r>
        <w:rPr>
          <w:rFonts w:ascii="Arial" w:hAnsi="Arial" w:cs="Arial"/>
          <w:bCs/>
          <w:sz w:val="24"/>
          <w:szCs w:val="24"/>
        </w:rPr>
        <w:t xml:space="preserve">established </w:t>
      </w:r>
      <w:r w:rsidR="00870A75" w:rsidRPr="00564722">
        <w:rPr>
          <w:rFonts w:ascii="Arial" w:hAnsi="Arial" w:cs="Arial"/>
          <w:bCs/>
          <w:sz w:val="24"/>
          <w:szCs w:val="24"/>
        </w:rPr>
        <w:t xml:space="preserve">that “good cause” </w:t>
      </w:r>
      <w:r>
        <w:rPr>
          <w:rFonts w:ascii="Arial" w:hAnsi="Arial" w:cs="Arial"/>
          <w:bCs/>
          <w:sz w:val="24"/>
          <w:szCs w:val="24"/>
        </w:rPr>
        <w:t xml:space="preserve">occurs where an </w:t>
      </w:r>
      <w:r w:rsidR="00870A75" w:rsidRPr="00564722">
        <w:rPr>
          <w:rFonts w:ascii="Arial" w:hAnsi="Arial" w:cs="Arial"/>
          <w:bCs/>
          <w:sz w:val="24"/>
          <w:szCs w:val="24"/>
        </w:rPr>
        <w:t>arbitrator has failed to deal with an issue that was before him</w:t>
      </w:r>
      <w:r>
        <w:rPr>
          <w:rFonts w:ascii="Arial" w:hAnsi="Arial" w:cs="Arial"/>
          <w:bCs/>
          <w:sz w:val="24"/>
          <w:szCs w:val="24"/>
        </w:rPr>
        <w:t xml:space="preserve"> such as the award of all costs in this matter</w:t>
      </w:r>
    </w:p>
    <w:p w14:paraId="1ADEDB6C" w14:textId="25AB3A44" w:rsidR="00FB6E8F" w:rsidRDefault="00FB6E8F" w:rsidP="00870A75">
      <w:pPr>
        <w:pStyle w:val="ListParagraph"/>
        <w:numPr>
          <w:ilvl w:val="0"/>
          <w:numId w:val="6"/>
        </w:numPr>
        <w:spacing w:line="360" w:lineRule="auto"/>
        <w:jc w:val="both"/>
        <w:rPr>
          <w:rFonts w:ascii="Arial" w:hAnsi="Arial" w:cs="Arial"/>
          <w:bCs/>
          <w:sz w:val="24"/>
          <w:szCs w:val="24"/>
        </w:rPr>
      </w:pPr>
      <w:r>
        <w:rPr>
          <w:rFonts w:ascii="Arial" w:hAnsi="Arial" w:cs="Arial"/>
          <w:bCs/>
          <w:sz w:val="24"/>
          <w:szCs w:val="24"/>
        </w:rPr>
        <w:t>Furthermore, the</w:t>
      </w:r>
      <w:r w:rsidR="00870A75" w:rsidRPr="00870A75">
        <w:rPr>
          <w:rFonts w:ascii="Arial" w:hAnsi="Arial" w:cs="Arial"/>
          <w:bCs/>
          <w:sz w:val="24"/>
          <w:szCs w:val="24"/>
        </w:rPr>
        <w:t xml:space="preserve"> Court </w:t>
      </w:r>
      <w:r>
        <w:rPr>
          <w:rFonts w:ascii="Arial" w:hAnsi="Arial" w:cs="Arial"/>
          <w:bCs/>
          <w:sz w:val="24"/>
          <w:szCs w:val="24"/>
        </w:rPr>
        <w:t>established that</w:t>
      </w:r>
      <w:r w:rsidR="00870A75" w:rsidRPr="00870A75">
        <w:rPr>
          <w:rFonts w:ascii="Arial" w:hAnsi="Arial" w:cs="Arial"/>
          <w:bCs/>
          <w:sz w:val="24"/>
          <w:szCs w:val="24"/>
        </w:rPr>
        <w:t xml:space="preserve"> the issue of costs is </w:t>
      </w:r>
      <w:r>
        <w:rPr>
          <w:rFonts w:ascii="Arial" w:hAnsi="Arial" w:cs="Arial"/>
          <w:bCs/>
          <w:sz w:val="24"/>
          <w:szCs w:val="24"/>
        </w:rPr>
        <w:t xml:space="preserve">ought to be </w:t>
      </w:r>
      <w:r w:rsidRPr="00870A75">
        <w:rPr>
          <w:rFonts w:ascii="Arial" w:hAnsi="Arial" w:cs="Arial"/>
          <w:bCs/>
          <w:sz w:val="24"/>
          <w:szCs w:val="24"/>
        </w:rPr>
        <w:t>addressed</w:t>
      </w:r>
      <w:r w:rsidR="00870A75" w:rsidRPr="00870A75">
        <w:rPr>
          <w:rFonts w:ascii="Arial" w:hAnsi="Arial" w:cs="Arial"/>
          <w:bCs/>
          <w:sz w:val="24"/>
          <w:szCs w:val="24"/>
        </w:rPr>
        <w:t xml:space="preserve"> and decided </w:t>
      </w:r>
      <w:r>
        <w:rPr>
          <w:rFonts w:ascii="Arial" w:hAnsi="Arial" w:cs="Arial"/>
          <w:bCs/>
          <w:sz w:val="24"/>
          <w:szCs w:val="24"/>
        </w:rPr>
        <w:t>to achieve finality in an arbitration as the matter in dispute</w:t>
      </w:r>
      <w:r w:rsidR="009D1EA1">
        <w:rPr>
          <w:rStyle w:val="FootnoteReference"/>
          <w:rFonts w:ascii="Arial" w:hAnsi="Arial" w:cs="Arial"/>
          <w:bCs/>
          <w:sz w:val="24"/>
          <w:szCs w:val="24"/>
        </w:rPr>
        <w:footnoteReference w:id="8"/>
      </w:r>
    </w:p>
    <w:p w14:paraId="6177F7E3" w14:textId="7E5C3986" w:rsidR="00870A75" w:rsidRPr="00870A75" w:rsidRDefault="009D1EA1" w:rsidP="00870A75">
      <w:pPr>
        <w:pStyle w:val="ListParagraph"/>
        <w:numPr>
          <w:ilvl w:val="0"/>
          <w:numId w:val="6"/>
        </w:numPr>
        <w:spacing w:line="360" w:lineRule="auto"/>
        <w:jc w:val="both"/>
        <w:rPr>
          <w:rFonts w:ascii="Arial" w:hAnsi="Arial" w:cs="Arial"/>
          <w:bCs/>
          <w:sz w:val="24"/>
          <w:szCs w:val="24"/>
        </w:rPr>
      </w:pPr>
      <w:r w:rsidRPr="00870A75">
        <w:rPr>
          <w:rFonts w:ascii="Arial" w:hAnsi="Arial" w:cs="Arial"/>
          <w:bCs/>
          <w:sz w:val="24"/>
          <w:szCs w:val="24"/>
        </w:rPr>
        <w:t>According</w:t>
      </w:r>
      <w:r>
        <w:rPr>
          <w:rFonts w:ascii="Arial" w:hAnsi="Arial" w:cs="Arial"/>
          <w:bCs/>
          <w:sz w:val="24"/>
          <w:szCs w:val="24"/>
        </w:rPr>
        <w:t>ly, therefore t</w:t>
      </w:r>
      <w:r w:rsidR="00870A75" w:rsidRPr="00870A75">
        <w:rPr>
          <w:rFonts w:ascii="Arial" w:hAnsi="Arial" w:cs="Arial"/>
          <w:bCs/>
          <w:sz w:val="24"/>
          <w:szCs w:val="24"/>
        </w:rPr>
        <w:t xml:space="preserve">he award in the case of “A” lacks any grounds </w:t>
      </w:r>
      <w:r>
        <w:rPr>
          <w:rFonts w:ascii="Arial" w:hAnsi="Arial" w:cs="Arial"/>
          <w:bCs/>
          <w:sz w:val="24"/>
          <w:szCs w:val="24"/>
        </w:rPr>
        <w:t>for review in terms of section 33(1) but there are grounds for review in terms of</w:t>
      </w:r>
      <w:r w:rsidR="00870A75" w:rsidRPr="00870A75">
        <w:rPr>
          <w:rFonts w:ascii="Arial" w:hAnsi="Arial" w:cs="Arial"/>
          <w:bCs/>
          <w:sz w:val="24"/>
          <w:szCs w:val="24"/>
        </w:rPr>
        <w:t xml:space="preserve"> “good cause”</w:t>
      </w:r>
      <w:r>
        <w:rPr>
          <w:rFonts w:ascii="Arial" w:hAnsi="Arial" w:cs="Arial"/>
          <w:bCs/>
          <w:sz w:val="24"/>
          <w:szCs w:val="24"/>
        </w:rPr>
        <w:t xml:space="preserve"> in terms of section 33(2) for the </w:t>
      </w:r>
      <w:r w:rsidR="00870A75" w:rsidRPr="00870A75">
        <w:rPr>
          <w:rFonts w:ascii="Arial" w:hAnsi="Arial" w:cs="Arial"/>
          <w:bCs/>
          <w:sz w:val="24"/>
          <w:szCs w:val="24"/>
        </w:rPr>
        <w:t xml:space="preserve">matter </w:t>
      </w:r>
      <w:r>
        <w:rPr>
          <w:rFonts w:ascii="Arial" w:hAnsi="Arial" w:cs="Arial"/>
          <w:bCs/>
          <w:sz w:val="24"/>
          <w:szCs w:val="24"/>
        </w:rPr>
        <w:t xml:space="preserve">to be </w:t>
      </w:r>
      <w:r w:rsidR="00870A75" w:rsidRPr="00870A75">
        <w:rPr>
          <w:rFonts w:ascii="Arial" w:hAnsi="Arial" w:cs="Arial"/>
          <w:bCs/>
          <w:sz w:val="24"/>
          <w:szCs w:val="24"/>
        </w:rPr>
        <w:t>remitted for review by the court.</w:t>
      </w:r>
    </w:p>
    <w:bookmarkEnd w:id="4"/>
    <w:p w14:paraId="7781C63F" w14:textId="77777777" w:rsidR="0019088D" w:rsidRPr="0019088D" w:rsidRDefault="00E5187E" w:rsidP="0019088D">
      <w:pPr>
        <w:spacing w:line="360" w:lineRule="auto"/>
        <w:ind w:left="426" w:hanging="426"/>
        <w:jc w:val="both"/>
        <w:rPr>
          <w:rFonts w:ascii="Arial" w:hAnsi="Arial" w:cs="Arial"/>
          <w:b/>
          <w:sz w:val="24"/>
          <w:szCs w:val="24"/>
          <w:u w:val="single"/>
        </w:rPr>
      </w:pPr>
      <w:r w:rsidRPr="0019088D">
        <w:rPr>
          <w:rFonts w:ascii="Arial" w:hAnsi="Arial" w:cs="Arial"/>
          <w:sz w:val="24"/>
          <w:szCs w:val="24"/>
        </w:rPr>
        <w:t xml:space="preserve"> </w:t>
      </w:r>
      <w:bookmarkEnd w:id="0"/>
      <w:r w:rsidR="0019088D" w:rsidRPr="0019088D">
        <w:rPr>
          <w:rFonts w:ascii="Arial" w:hAnsi="Arial" w:cs="Arial"/>
          <w:b/>
          <w:sz w:val="24"/>
          <w:szCs w:val="24"/>
          <w:u w:val="single"/>
        </w:rPr>
        <w:t>BIBLIOGRAPHY</w:t>
      </w:r>
    </w:p>
    <w:p w14:paraId="489F4E6B" w14:textId="77777777" w:rsidR="0019088D" w:rsidRPr="0019088D" w:rsidRDefault="0019088D" w:rsidP="0019088D">
      <w:pPr>
        <w:spacing w:line="360" w:lineRule="auto"/>
        <w:ind w:left="426" w:hanging="426"/>
        <w:jc w:val="both"/>
        <w:rPr>
          <w:rFonts w:ascii="Arial" w:hAnsi="Arial" w:cs="Arial"/>
          <w:bCs/>
          <w:sz w:val="24"/>
          <w:szCs w:val="24"/>
        </w:rPr>
      </w:pPr>
      <w:r w:rsidRPr="0019088D">
        <w:rPr>
          <w:rFonts w:ascii="Arial" w:hAnsi="Arial" w:cs="Arial"/>
          <w:bCs/>
          <w:sz w:val="24"/>
          <w:szCs w:val="24"/>
        </w:rPr>
        <w:t>1.</w:t>
      </w:r>
      <w:r w:rsidRPr="0019088D">
        <w:rPr>
          <w:rFonts w:ascii="Arial" w:hAnsi="Arial" w:cs="Arial"/>
          <w:bCs/>
          <w:sz w:val="24"/>
          <w:szCs w:val="24"/>
        </w:rPr>
        <w:tab/>
        <w:t>The New York Convention on the Recognition and Enforcement of Foreign Arbitral Awards 1958</w:t>
      </w:r>
    </w:p>
    <w:p w14:paraId="229033EB" w14:textId="77777777" w:rsidR="0019088D" w:rsidRPr="0019088D" w:rsidRDefault="0019088D" w:rsidP="0019088D">
      <w:pPr>
        <w:spacing w:line="360" w:lineRule="auto"/>
        <w:ind w:left="426" w:hanging="426"/>
        <w:jc w:val="both"/>
        <w:rPr>
          <w:rFonts w:ascii="Arial" w:hAnsi="Arial" w:cs="Arial"/>
          <w:sz w:val="24"/>
          <w:szCs w:val="24"/>
        </w:rPr>
      </w:pPr>
      <w:r w:rsidRPr="0019088D">
        <w:rPr>
          <w:rFonts w:ascii="Arial" w:hAnsi="Arial" w:cs="Arial"/>
          <w:bCs/>
          <w:sz w:val="24"/>
          <w:szCs w:val="24"/>
        </w:rPr>
        <w:t>2.</w:t>
      </w:r>
      <w:r w:rsidRPr="0019088D">
        <w:rPr>
          <w:rFonts w:ascii="Arial" w:hAnsi="Arial" w:cs="Arial"/>
          <w:bCs/>
          <w:sz w:val="24"/>
          <w:szCs w:val="24"/>
        </w:rPr>
        <w:tab/>
      </w:r>
      <w:r w:rsidRPr="0019088D">
        <w:rPr>
          <w:rFonts w:ascii="Arial" w:hAnsi="Arial" w:cs="Arial"/>
          <w:sz w:val="24"/>
          <w:szCs w:val="24"/>
        </w:rPr>
        <w:t>The United Nations Commission on International Trade Law Model Law</w:t>
      </w:r>
    </w:p>
    <w:p w14:paraId="11247812" w14:textId="77777777" w:rsidR="0019088D" w:rsidRPr="0019088D" w:rsidRDefault="0019088D" w:rsidP="0019088D">
      <w:pPr>
        <w:spacing w:line="360" w:lineRule="auto"/>
        <w:ind w:left="426" w:hanging="426"/>
        <w:jc w:val="both"/>
        <w:rPr>
          <w:rFonts w:ascii="Arial" w:hAnsi="Arial" w:cs="Arial"/>
          <w:sz w:val="24"/>
          <w:szCs w:val="24"/>
        </w:rPr>
      </w:pPr>
      <w:r w:rsidRPr="0019088D">
        <w:rPr>
          <w:rFonts w:ascii="Arial" w:hAnsi="Arial" w:cs="Arial"/>
          <w:sz w:val="24"/>
          <w:szCs w:val="24"/>
        </w:rPr>
        <w:t>3.</w:t>
      </w:r>
      <w:r w:rsidRPr="0019088D">
        <w:rPr>
          <w:rFonts w:ascii="Arial" w:hAnsi="Arial" w:cs="Arial"/>
          <w:sz w:val="24"/>
          <w:szCs w:val="24"/>
        </w:rPr>
        <w:tab/>
      </w:r>
      <w:proofErr w:type="spellStart"/>
      <w:r w:rsidRPr="0019088D">
        <w:rPr>
          <w:rFonts w:ascii="Arial" w:hAnsi="Arial" w:cs="Arial"/>
          <w:bCs/>
          <w:sz w:val="24"/>
          <w:szCs w:val="24"/>
        </w:rPr>
        <w:t>Sulamerica</w:t>
      </w:r>
      <w:proofErr w:type="spellEnd"/>
      <w:r w:rsidRPr="0019088D">
        <w:rPr>
          <w:rFonts w:ascii="Arial" w:hAnsi="Arial" w:cs="Arial"/>
          <w:bCs/>
          <w:sz w:val="24"/>
          <w:szCs w:val="24"/>
        </w:rPr>
        <w:t xml:space="preserve"> CIA </w:t>
      </w:r>
      <w:proofErr w:type="spellStart"/>
      <w:r w:rsidRPr="0019088D">
        <w:rPr>
          <w:rFonts w:ascii="Arial" w:hAnsi="Arial" w:cs="Arial"/>
          <w:bCs/>
          <w:sz w:val="24"/>
          <w:szCs w:val="24"/>
        </w:rPr>
        <w:t>Narcional</w:t>
      </w:r>
      <w:proofErr w:type="spellEnd"/>
      <w:r w:rsidRPr="0019088D">
        <w:rPr>
          <w:rFonts w:ascii="Arial" w:hAnsi="Arial" w:cs="Arial"/>
          <w:bCs/>
          <w:sz w:val="24"/>
          <w:szCs w:val="24"/>
        </w:rPr>
        <w:t xml:space="preserve"> De </w:t>
      </w:r>
      <w:proofErr w:type="spellStart"/>
      <w:r w:rsidRPr="0019088D">
        <w:rPr>
          <w:rFonts w:ascii="Arial" w:hAnsi="Arial" w:cs="Arial"/>
          <w:bCs/>
          <w:sz w:val="24"/>
          <w:szCs w:val="24"/>
        </w:rPr>
        <w:t>seguros</w:t>
      </w:r>
      <w:proofErr w:type="spellEnd"/>
      <w:r w:rsidRPr="0019088D">
        <w:rPr>
          <w:rFonts w:ascii="Arial" w:hAnsi="Arial" w:cs="Arial"/>
          <w:bCs/>
          <w:sz w:val="24"/>
          <w:szCs w:val="24"/>
        </w:rPr>
        <w:t xml:space="preserve"> SA v </w:t>
      </w:r>
      <w:proofErr w:type="spellStart"/>
      <w:r w:rsidRPr="0019088D">
        <w:rPr>
          <w:rFonts w:ascii="Arial" w:hAnsi="Arial" w:cs="Arial"/>
          <w:bCs/>
          <w:sz w:val="24"/>
          <w:szCs w:val="24"/>
        </w:rPr>
        <w:t>Enesa</w:t>
      </w:r>
      <w:proofErr w:type="spellEnd"/>
      <w:r w:rsidRPr="0019088D">
        <w:rPr>
          <w:rFonts w:ascii="Arial" w:hAnsi="Arial" w:cs="Arial"/>
          <w:bCs/>
          <w:sz w:val="24"/>
          <w:szCs w:val="24"/>
        </w:rPr>
        <w:t xml:space="preserve"> </w:t>
      </w:r>
      <w:proofErr w:type="spellStart"/>
      <w:r w:rsidRPr="0019088D">
        <w:rPr>
          <w:rFonts w:ascii="Arial" w:hAnsi="Arial" w:cs="Arial"/>
          <w:bCs/>
          <w:sz w:val="24"/>
          <w:szCs w:val="24"/>
        </w:rPr>
        <w:t>Engenharia</w:t>
      </w:r>
      <w:proofErr w:type="spellEnd"/>
      <w:r w:rsidRPr="0019088D">
        <w:rPr>
          <w:rFonts w:ascii="Arial" w:hAnsi="Arial" w:cs="Arial"/>
          <w:bCs/>
          <w:sz w:val="24"/>
          <w:szCs w:val="24"/>
        </w:rPr>
        <w:t xml:space="preserve"> SA </w:t>
      </w:r>
      <w:r w:rsidRPr="0019088D">
        <w:rPr>
          <w:rFonts w:ascii="Arial" w:hAnsi="Arial" w:cs="Arial"/>
          <w:sz w:val="24"/>
          <w:szCs w:val="24"/>
        </w:rPr>
        <w:t xml:space="preserve">[2012] EWCA </w:t>
      </w:r>
      <w:proofErr w:type="spellStart"/>
      <w:r w:rsidRPr="0019088D">
        <w:rPr>
          <w:rFonts w:ascii="Arial" w:hAnsi="Arial" w:cs="Arial"/>
          <w:sz w:val="24"/>
          <w:szCs w:val="24"/>
        </w:rPr>
        <w:t>Civ</w:t>
      </w:r>
      <w:proofErr w:type="spellEnd"/>
      <w:r w:rsidRPr="0019088D">
        <w:rPr>
          <w:rFonts w:ascii="Arial" w:hAnsi="Arial" w:cs="Arial"/>
          <w:sz w:val="24"/>
          <w:szCs w:val="24"/>
        </w:rPr>
        <w:t xml:space="preserve"> 638</w:t>
      </w:r>
    </w:p>
    <w:p w14:paraId="3F1EF8C5" w14:textId="77777777" w:rsidR="0019088D" w:rsidRPr="0019088D" w:rsidRDefault="0019088D" w:rsidP="0019088D">
      <w:pPr>
        <w:spacing w:line="360" w:lineRule="auto"/>
        <w:ind w:left="426" w:hanging="426"/>
        <w:jc w:val="both"/>
        <w:rPr>
          <w:rFonts w:ascii="Arial" w:hAnsi="Arial" w:cs="Arial"/>
          <w:sz w:val="24"/>
          <w:szCs w:val="24"/>
        </w:rPr>
      </w:pPr>
      <w:r w:rsidRPr="0019088D">
        <w:rPr>
          <w:rFonts w:ascii="Arial" w:hAnsi="Arial" w:cs="Arial"/>
          <w:sz w:val="24"/>
          <w:szCs w:val="24"/>
        </w:rPr>
        <w:t>4.</w:t>
      </w:r>
      <w:r w:rsidRPr="0019088D">
        <w:rPr>
          <w:rFonts w:ascii="Arial" w:hAnsi="Arial" w:cs="Arial"/>
          <w:sz w:val="24"/>
          <w:szCs w:val="24"/>
        </w:rPr>
        <w:tab/>
        <w:t>London Court of International Arbitration Rules 2014</w:t>
      </w:r>
    </w:p>
    <w:p w14:paraId="223A7A2E" w14:textId="77777777" w:rsidR="0019088D" w:rsidRPr="0019088D" w:rsidRDefault="0019088D" w:rsidP="0019088D">
      <w:pPr>
        <w:spacing w:line="360" w:lineRule="auto"/>
        <w:ind w:left="426" w:hanging="426"/>
        <w:jc w:val="both"/>
        <w:rPr>
          <w:rFonts w:ascii="Arial" w:hAnsi="Arial" w:cs="Arial"/>
          <w:sz w:val="24"/>
          <w:szCs w:val="24"/>
        </w:rPr>
      </w:pPr>
      <w:r w:rsidRPr="0019088D">
        <w:rPr>
          <w:rFonts w:ascii="Arial" w:hAnsi="Arial" w:cs="Arial"/>
          <w:sz w:val="24"/>
          <w:szCs w:val="24"/>
        </w:rPr>
        <w:lastRenderedPageBreak/>
        <w:t>5.</w:t>
      </w:r>
      <w:r w:rsidRPr="0019088D">
        <w:rPr>
          <w:rFonts w:ascii="Arial" w:hAnsi="Arial" w:cs="Arial"/>
          <w:sz w:val="24"/>
          <w:szCs w:val="24"/>
        </w:rPr>
        <w:tab/>
        <w:t>Prof David Butler: Introduction to International Commercial Arbitration: A southern African Perspective p65</w:t>
      </w:r>
    </w:p>
    <w:p w14:paraId="386DFDAB" w14:textId="77777777" w:rsidR="0019088D" w:rsidRPr="0019088D" w:rsidRDefault="0019088D" w:rsidP="0019088D">
      <w:pPr>
        <w:spacing w:line="360" w:lineRule="auto"/>
        <w:ind w:left="426" w:right="-472" w:hanging="426"/>
        <w:jc w:val="both"/>
        <w:rPr>
          <w:rFonts w:ascii="Arial" w:hAnsi="Arial" w:cs="Arial"/>
          <w:sz w:val="24"/>
          <w:szCs w:val="24"/>
        </w:rPr>
      </w:pPr>
      <w:r w:rsidRPr="0019088D">
        <w:rPr>
          <w:rFonts w:ascii="Arial" w:hAnsi="Arial" w:cs="Arial"/>
          <w:sz w:val="24"/>
          <w:szCs w:val="24"/>
        </w:rPr>
        <w:t>6.</w:t>
      </w:r>
      <w:r w:rsidRPr="0019088D">
        <w:rPr>
          <w:rFonts w:ascii="Arial" w:hAnsi="Arial" w:cs="Arial"/>
          <w:sz w:val="24"/>
          <w:szCs w:val="24"/>
        </w:rPr>
        <w:tab/>
      </w:r>
      <w:r w:rsidRPr="0019088D">
        <w:rPr>
          <w:rFonts w:ascii="Arial" w:hAnsi="Arial" w:cs="Arial"/>
          <w:bCs/>
          <w:sz w:val="24"/>
          <w:szCs w:val="24"/>
        </w:rPr>
        <w:t xml:space="preserve">Paul Smith Ltd v H &amp; S International Holdings </w:t>
      </w:r>
      <w:r w:rsidRPr="0019088D">
        <w:rPr>
          <w:rFonts w:ascii="Arial" w:hAnsi="Arial" w:cs="Arial"/>
          <w:sz w:val="24"/>
          <w:szCs w:val="24"/>
        </w:rPr>
        <w:t>[1991] 2 Lloyd’s Rep 127 (QB Com Ct) 128</w:t>
      </w:r>
    </w:p>
    <w:p w14:paraId="6EA9637B" w14:textId="77777777" w:rsidR="0019088D" w:rsidRPr="0019088D" w:rsidRDefault="0019088D" w:rsidP="0019088D">
      <w:pPr>
        <w:spacing w:line="360" w:lineRule="auto"/>
        <w:ind w:left="426" w:right="-472" w:hanging="426"/>
        <w:jc w:val="both"/>
        <w:rPr>
          <w:rFonts w:ascii="Arial" w:hAnsi="Arial" w:cs="Arial"/>
          <w:sz w:val="24"/>
          <w:szCs w:val="24"/>
        </w:rPr>
      </w:pPr>
      <w:r w:rsidRPr="0019088D">
        <w:rPr>
          <w:rFonts w:ascii="Arial" w:hAnsi="Arial" w:cs="Arial"/>
          <w:sz w:val="24"/>
          <w:szCs w:val="24"/>
        </w:rPr>
        <w:t>7.</w:t>
      </w:r>
      <w:r w:rsidRPr="0019088D">
        <w:rPr>
          <w:rFonts w:ascii="Arial" w:hAnsi="Arial" w:cs="Arial"/>
          <w:sz w:val="24"/>
          <w:szCs w:val="24"/>
        </w:rPr>
        <w:tab/>
      </w:r>
      <w:r w:rsidRPr="0019088D">
        <w:rPr>
          <w:rFonts w:ascii="Arial" w:hAnsi="Arial" w:cs="Arial"/>
          <w:bCs/>
          <w:sz w:val="24"/>
          <w:szCs w:val="24"/>
        </w:rPr>
        <w:t xml:space="preserve">Courtney and Fairbairn v </w:t>
      </w:r>
      <w:proofErr w:type="spellStart"/>
      <w:r w:rsidRPr="0019088D">
        <w:rPr>
          <w:rFonts w:ascii="Arial" w:hAnsi="Arial" w:cs="Arial"/>
          <w:bCs/>
          <w:sz w:val="24"/>
          <w:szCs w:val="24"/>
        </w:rPr>
        <w:t>Tolaini</w:t>
      </w:r>
      <w:proofErr w:type="spellEnd"/>
      <w:r w:rsidRPr="0019088D">
        <w:rPr>
          <w:rFonts w:ascii="Arial" w:hAnsi="Arial" w:cs="Arial"/>
          <w:bCs/>
          <w:sz w:val="24"/>
          <w:szCs w:val="24"/>
        </w:rPr>
        <w:t xml:space="preserve"> Brothers (Hotels) Ltd</w:t>
      </w:r>
      <w:r w:rsidRPr="0019088D">
        <w:rPr>
          <w:rStyle w:val="FootnoteReference"/>
          <w:rFonts w:ascii="Arial" w:hAnsi="Arial" w:cs="Arial"/>
          <w:bCs/>
          <w:sz w:val="24"/>
          <w:szCs w:val="24"/>
        </w:rPr>
        <w:footnoteReference w:id="9"/>
      </w:r>
      <w:r w:rsidRPr="0019088D">
        <w:rPr>
          <w:rFonts w:ascii="Arial" w:hAnsi="Arial" w:cs="Arial"/>
          <w:sz w:val="24"/>
          <w:szCs w:val="24"/>
        </w:rPr>
        <w:t>[1975] 1 WLR 297</w:t>
      </w:r>
    </w:p>
    <w:p w14:paraId="735A6822" w14:textId="77777777" w:rsidR="0019088D" w:rsidRPr="0019088D" w:rsidRDefault="0019088D" w:rsidP="0019088D">
      <w:pPr>
        <w:spacing w:line="360" w:lineRule="auto"/>
        <w:ind w:left="426" w:right="-472" w:hanging="426"/>
        <w:jc w:val="both"/>
        <w:rPr>
          <w:rFonts w:ascii="Arial" w:hAnsi="Arial" w:cs="Arial"/>
          <w:sz w:val="24"/>
          <w:szCs w:val="24"/>
        </w:rPr>
      </w:pPr>
      <w:r w:rsidRPr="0019088D">
        <w:rPr>
          <w:rFonts w:ascii="Arial" w:hAnsi="Arial" w:cs="Arial"/>
          <w:sz w:val="24"/>
          <w:szCs w:val="24"/>
        </w:rPr>
        <w:t>8.</w:t>
      </w:r>
      <w:r w:rsidRPr="0019088D">
        <w:rPr>
          <w:rFonts w:ascii="Arial" w:hAnsi="Arial" w:cs="Arial"/>
          <w:sz w:val="24"/>
          <w:szCs w:val="24"/>
        </w:rPr>
        <w:tab/>
      </w:r>
      <w:r w:rsidRPr="0019088D">
        <w:rPr>
          <w:rFonts w:ascii="Arial" w:hAnsi="Arial" w:cs="Arial"/>
          <w:bCs/>
          <w:sz w:val="24"/>
          <w:szCs w:val="24"/>
        </w:rPr>
        <w:t xml:space="preserve">Watford v Miles </w:t>
      </w:r>
      <w:r w:rsidRPr="0019088D">
        <w:rPr>
          <w:rFonts w:ascii="Arial" w:hAnsi="Arial" w:cs="Arial"/>
          <w:sz w:val="24"/>
          <w:szCs w:val="24"/>
        </w:rPr>
        <w:t>[1992] 2 AC 128</w:t>
      </w:r>
    </w:p>
    <w:p w14:paraId="6E59C354" w14:textId="77777777" w:rsidR="0019088D" w:rsidRPr="0019088D" w:rsidRDefault="0019088D" w:rsidP="0019088D">
      <w:pPr>
        <w:spacing w:line="360" w:lineRule="auto"/>
        <w:ind w:left="426" w:right="-472" w:hanging="426"/>
        <w:jc w:val="both"/>
        <w:rPr>
          <w:rFonts w:ascii="Arial" w:hAnsi="Arial" w:cs="Arial"/>
          <w:sz w:val="24"/>
          <w:szCs w:val="24"/>
        </w:rPr>
      </w:pPr>
      <w:r w:rsidRPr="0019088D">
        <w:rPr>
          <w:rFonts w:ascii="Arial" w:hAnsi="Arial" w:cs="Arial"/>
          <w:sz w:val="24"/>
          <w:szCs w:val="24"/>
        </w:rPr>
        <w:t>9.</w:t>
      </w:r>
      <w:r w:rsidRPr="0019088D">
        <w:rPr>
          <w:rFonts w:ascii="Arial" w:hAnsi="Arial" w:cs="Arial"/>
          <w:sz w:val="24"/>
          <w:szCs w:val="24"/>
        </w:rPr>
        <w:tab/>
      </w:r>
      <w:r w:rsidRPr="0019088D">
        <w:rPr>
          <w:rFonts w:ascii="Arial" w:hAnsi="Arial" w:cs="Arial"/>
          <w:bCs/>
          <w:sz w:val="24"/>
          <w:szCs w:val="24"/>
        </w:rPr>
        <w:t xml:space="preserve">Emirates Trading Agency </w:t>
      </w:r>
      <w:proofErr w:type="spellStart"/>
      <w:r w:rsidRPr="0019088D">
        <w:rPr>
          <w:rFonts w:ascii="Arial" w:hAnsi="Arial" w:cs="Arial"/>
          <w:bCs/>
          <w:sz w:val="24"/>
          <w:szCs w:val="24"/>
        </w:rPr>
        <w:t>Llc</w:t>
      </w:r>
      <w:proofErr w:type="spellEnd"/>
      <w:r w:rsidRPr="0019088D">
        <w:rPr>
          <w:rFonts w:ascii="Arial" w:hAnsi="Arial" w:cs="Arial"/>
          <w:bCs/>
          <w:sz w:val="24"/>
          <w:szCs w:val="24"/>
        </w:rPr>
        <w:t xml:space="preserve"> v </w:t>
      </w:r>
      <w:proofErr w:type="spellStart"/>
      <w:r w:rsidRPr="0019088D">
        <w:rPr>
          <w:rFonts w:ascii="Arial" w:hAnsi="Arial" w:cs="Arial"/>
          <w:bCs/>
          <w:sz w:val="24"/>
          <w:szCs w:val="24"/>
        </w:rPr>
        <w:t>Prome</w:t>
      </w:r>
      <w:proofErr w:type="spellEnd"/>
      <w:r w:rsidRPr="0019088D">
        <w:rPr>
          <w:rFonts w:ascii="Arial" w:hAnsi="Arial" w:cs="Arial"/>
          <w:bCs/>
          <w:sz w:val="24"/>
          <w:szCs w:val="24"/>
        </w:rPr>
        <w:t xml:space="preserve"> Mineral Exports Private Ltd </w:t>
      </w:r>
      <w:r w:rsidRPr="0019088D">
        <w:rPr>
          <w:rFonts w:ascii="Arial" w:hAnsi="Arial" w:cs="Arial"/>
          <w:sz w:val="24"/>
          <w:szCs w:val="24"/>
        </w:rPr>
        <w:t>[2014] EWHC 2014(Comm)</w:t>
      </w:r>
    </w:p>
    <w:p w14:paraId="04A76BC6" w14:textId="77777777" w:rsidR="0019088D" w:rsidRPr="0019088D" w:rsidRDefault="0019088D" w:rsidP="0019088D">
      <w:pPr>
        <w:spacing w:line="360" w:lineRule="auto"/>
        <w:ind w:left="426" w:right="-472" w:hanging="426"/>
        <w:jc w:val="both"/>
        <w:rPr>
          <w:rFonts w:ascii="Arial" w:hAnsi="Arial" w:cs="Arial"/>
          <w:sz w:val="24"/>
          <w:szCs w:val="24"/>
        </w:rPr>
      </w:pPr>
      <w:r w:rsidRPr="0019088D">
        <w:rPr>
          <w:rFonts w:ascii="Arial" w:hAnsi="Arial" w:cs="Arial"/>
          <w:sz w:val="24"/>
          <w:szCs w:val="24"/>
        </w:rPr>
        <w:t>10.</w:t>
      </w:r>
      <w:r w:rsidRPr="0019088D">
        <w:rPr>
          <w:rFonts w:ascii="Arial" w:hAnsi="Arial" w:cs="Arial"/>
          <w:sz w:val="24"/>
          <w:szCs w:val="24"/>
        </w:rPr>
        <w:tab/>
        <w:t>IBA Rules on the Taking of Evidence in International Arbitration 2010</w:t>
      </w:r>
    </w:p>
    <w:p w14:paraId="25DE40F4" w14:textId="77777777" w:rsidR="0019088D" w:rsidRPr="0019088D" w:rsidRDefault="0019088D" w:rsidP="0019088D">
      <w:pPr>
        <w:pStyle w:val="FootnoteText"/>
        <w:rPr>
          <w:rFonts w:ascii="Arial" w:hAnsi="Arial" w:cs="Arial"/>
          <w:sz w:val="24"/>
          <w:szCs w:val="24"/>
        </w:rPr>
      </w:pPr>
      <w:r w:rsidRPr="0019088D">
        <w:rPr>
          <w:rFonts w:ascii="Arial" w:hAnsi="Arial" w:cs="Arial"/>
          <w:sz w:val="24"/>
          <w:szCs w:val="24"/>
        </w:rPr>
        <w:t xml:space="preserve">11.  </w:t>
      </w:r>
      <w:proofErr w:type="spellStart"/>
      <w:r w:rsidRPr="0019088D">
        <w:rPr>
          <w:rFonts w:ascii="Arial" w:hAnsi="Arial" w:cs="Arial"/>
          <w:sz w:val="24"/>
          <w:szCs w:val="24"/>
        </w:rPr>
        <w:t>Buttler</w:t>
      </w:r>
      <w:proofErr w:type="spellEnd"/>
      <w:r w:rsidRPr="0019088D">
        <w:rPr>
          <w:rFonts w:ascii="Arial" w:hAnsi="Arial" w:cs="Arial"/>
          <w:sz w:val="24"/>
          <w:szCs w:val="24"/>
        </w:rPr>
        <w:t xml:space="preserve"> D W Addendum to Module Notes for assignment M4/B3</w:t>
      </w:r>
    </w:p>
    <w:p w14:paraId="5A6EA90E" w14:textId="77777777" w:rsidR="0019088D" w:rsidRPr="0019088D" w:rsidRDefault="0019088D" w:rsidP="0019088D">
      <w:pPr>
        <w:pStyle w:val="FootnoteText"/>
        <w:rPr>
          <w:rFonts w:ascii="Arial" w:hAnsi="Arial" w:cs="Arial"/>
          <w:sz w:val="24"/>
          <w:szCs w:val="24"/>
        </w:rPr>
      </w:pPr>
    </w:p>
    <w:p w14:paraId="625864D0" w14:textId="77777777" w:rsidR="0019088D" w:rsidRPr="0019088D" w:rsidRDefault="0019088D" w:rsidP="0019088D">
      <w:pPr>
        <w:pStyle w:val="FootnoteText"/>
        <w:rPr>
          <w:rFonts w:ascii="Arial" w:hAnsi="Arial" w:cs="Arial"/>
          <w:sz w:val="24"/>
          <w:szCs w:val="24"/>
        </w:rPr>
      </w:pPr>
      <w:r w:rsidRPr="0019088D">
        <w:rPr>
          <w:rFonts w:ascii="Arial" w:hAnsi="Arial" w:cs="Arial"/>
          <w:sz w:val="24"/>
          <w:szCs w:val="24"/>
        </w:rPr>
        <w:t>12.  Butler and Finsen Arbitration in South Africa Law and Practice (1993) Juta p 279</w:t>
      </w:r>
    </w:p>
    <w:p w14:paraId="74205A86" w14:textId="77777777" w:rsidR="0019088D" w:rsidRPr="0019088D" w:rsidRDefault="0019088D" w:rsidP="0019088D">
      <w:pPr>
        <w:pStyle w:val="FootnoteText"/>
        <w:rPr>
          <w:rFonts w:ascii="Arial" w:hAnsi="Arial" w:cs="Arial"/>
          <w:sz w:val="24"/>
          <w:szCs w:val="24"/>
        </w:rPr>
      </w:pPr>
    </w:p>
    <w:p w14:paraId="183DB427" w14:textId="77777777" w:rsidR="0019088D" w:rsidRPr="0019088D" w:rsidRDefault="0019088D" w:rsidP="0019088D">
      <w:pPr>
        <w:pStyle w:val="FootnoteText"/>
        <w:ind w:left="426" w:hanging="426"/>
        <w:rPr>
          <w:rFonts w:ascii="Arial" w:hAnsi="Arial" w:cs="Arial"/>
          <w:sz w:val="24"/>
          <w:szCs w:val="24"/>
        </w:rPr>
      </w:pPr>
      <w:r w:rsidRPr="0019088D">
        <w:rPr>
          <w:rFonts w:ascii="Arial" w:hAnsi="Arial" w:cs="Arial"/>
          <w:sz w:val="24"/>
          <w:szCs w:val="24"/>
        </w:rPr>
        <w:t xml:space="preserve">13.  </w:t>
      </w:r>
      <w:proofErr w:type="spellStart"/>
      <w:r w:rsidRPr="0019088D">
        <w:rPr>
          <w:rFonts w:ascii="Arial" w:hAnsi="Arial" w:cs="Arial"/>
          <w:sz w:val="24"/>
          <w:szCs w:val="24"/>
        </w:rPr>
        <w:t>Leadtrain</w:t>
      </w:r>
      <w:proofErr w:type="spellEnd"/>
      <w:r w:rsidRPr="0019088D">
        <w:rPr>
          <w:rFonts w:ascii="Arial" w:hAnsi="Arial" w:cs="Arial"/>
          <w:sz w:val="24"/>
          <w:szCs w:val="24"/>
        </w:rPr>
        <w:t xml:space="preserve"> Assessments (Pty) Ltd and Others v </w:t>
      </w:r>
      <w:proofErr w:type="spellStart"/>
      <w:r w:rsidRPr="0019088D">
        <w:rPr>
          <w:rFonts w:ascii="Arial" w:hAnsi="Arial" w:cs="Arial"/>
          <w:sz w:val="24"/>
          <w:szCs w:val="24"/>
        </w:rPr>
        <w:t>Leadtrain</w:t>
      </w:r>
      <w:proofErr w:type="spellEnd"/>
      <w:r w:rsidRPr="0019088D">
        <w:rPr>
          <w:rFonts w:ascii="Arial" w:hAnsi="Arial" w:cs="Arial"/>
          <w:sz w:val="24"/>
          <w:szCs w:val="24"/>
        </w:rPr>
        <w:t xml:space="preserve"> (Pty) Ltd and Others 2013 (5) SA 84 (SCA)</w:t>
      </w:r>
    </w:p>
    <w:p w14:paraId="1234FE2F" w14:textId="77777777" w:rsidR="0019088D" w:rsidRPr="0019088D" w:rsidRDefault="0019088D" w:rsidP="0019088D">
      <w:pPr>
        <w:pStyle w:val="FootnoteText"/>
        <w:rPr>
          <w:rFonts w:ascii="Arial" w:hAnsi="Arial" w:cs="Arial"/>
          <w:sz w:val="24"/>
          <w:szCs w:val="24"/>
        </w:rPr>
      </w:pPr>
    </w:p>
    <w:p w14:paraId="16080587" w14:textId="77777777" w:rsidR="0019088D" w:rsidRPr="0019088D" w:rsidRDefault="0019088D" w:rsidP="0019088D">
      <w:pPr>
        <w:pStyle w:val="FootnoteText"/>
        <w:ind w:left="426" w:hanging="426"/>
        <w:rPr>
          <w:rFonts w:ascii="Arial" w:hAnsi="Arial" w:cs="Arial"/>
          <w:sz w:val="24"/>
          <w:szCs w:val="24"/>
        </w:rPr>
      </w:pPr>
      <w:r w:rsidRPr="0019088D">
        <w:rPr>
          <w:rFonts w:ascii="Arial" w:hAnsi="Arial" w:cs="Arial"/>
          <w:sz w:val="24"/>
          <w:szCs w:val="24"/>
        </w:rPr>
        <w:t xml:space="preserve">14.  </w:t>
      </w:r>
      <w:proofErr w:type="spellStart"/>
      <w:r w:rsidRPr="0019088D">
        <w:rPr>
          <w:rFonts w:ascii="Arial" w:hAnsi="Arial" w:cs="Arial"/>
          <w:sz w:val="24"/>
          <w:szCs w:val="24"/>
        </w:rPr>
        <w:t>Kolber</w:t>
      </w:r>
      <w:proofErr w:type="spellEnd"/>
      <w:r w:rsidRPr="0019088D">
        <w:rPr>
          <w:rFonts w:ascii="Arial" w:hAnsi="Arial" w:cs="Arial"/>
          <w:sz w:val="24"/>
          <w:szCs w:val="24"/>
        </w:rPr>
        <w:t xml:space="preserve"> and Another v </w:t>
      </w:r>
      <w:proofErr w:type="spellStart"/>
      <w:r w:rsidRPr="0019088D">
        <w:rPr>
          <w:rFonts w:ascii="Arial" w:hAnsi="Arial" w:cs="Arial"/>
          <w:sz w:val="24"/>
          <w:szCs w:val="24"/>
        </w:rPr>
        <w:t>Sourcecom</w:t>
      </w:r>
      <w:proofErr w:type="spellEnd"/>
      <w:r w:rsidRPr="0019088D">
        <w:rPr>
          <w:rFonts w:ascii="Arial" w:hAnsi="Arial" w:cs="Arial"/>
          <w:sz w:val="24"/>
          <w:szCs w:val="24"/>
        </w:rPr>
        <w:t xml:space="preserve"> Solutions (Pty) Ltd and Others (2001) (2) SA1097 (C)</w:t>
      </w:r>
    </w:p>
    <w:p w14:paraId="4CC8C536" w14:textId="77777777" w:rsidR="0019088D" w:rsidRPr="0019088D" w:rsidRDefault="0019088D" w:rsidP="0019088D">
      <w:pPr>
        <w:pStyle w:val="FootnoteText"/>
        <w:ind w:left="426" w:hanging="426"/>
        <w:rPr>
          <w:rFonts w:ascii="Arial" w:hAnsi="Arial" w:cs="Arial"/>
          <w:sz w:val="24"/>
          <w:szCs w:val="24"/>
        </w:rPr>
      </w:pPr>
    </w:p>
    <w:p w14:paraId="4D429929" w14:textId="77777777" w:rsidR="0019088D" w:rsidRPr="0019088D" w:rsidRDefault="0019088D" w:rsidP="0019088D">
      <w:pPr>
        <w:pStyle w:val="FootnoteText"/>
        <w:ind w:left="426" w:hanging="426"/>
        <w:rPr>
          <w:rFonts w:ascii="Arial" w:hAnsi="Arial" w:cs="Arial"/>
          <w:sz w:val="24"/>
          <w:szCs w:val="24"/>
        </w:rPr>
      </w:pPr>
      <w:r w:rsidRPr="0019088D">
        <w:rPr>
          <w:rFonts w:ascii="Arial" w:hAnsi="Arial" w:cs="Arial"/>
          <w:sz w:val="24"/>
          <w:szCs w:val="24"/>
        </w:rPr>
        <w:t>15.</w:t>
      </w:r>
      <w:r w:rsidRPr="0019088D">
        <w:rPr>
          <w:rFonts w:ascii="Arial" w:hAnsi="Arial" w:cs="Arial"/>
          <w:sz w:val="24"/>
          <w:szCs w:val="24"/>
        </w:rPr>
        <w:tab/>
        <w:t>The Arbitration Act 42 of 1965</w:t>
      </w:r>
    </w:p>
    <w:p w14:paraId="304C9746" w14:textId="0EFA8CFE" w:rsidR="00E5187E" w:rsidRPr="0019088D" w:rsidRDefault="00E5187E" w:rsidP="00E5187E">
      <w:pPr>
        <w:spacing w:line="360" w:lineRule="auto"/>
        <w:jc w:val="both"/>
        <w:rPr>
          <w:rFonts w:ascii="Arial" w:hAnsi="Arial" w:cs="Arial"/>
          <w:sz w:val="24"/>
          <w:szCs w:val="24"/>
        </w:rPr>
      </w:pPr>
    </w:p>
    <w:sectPr w:rsidR="00E5187E" w:rsidRPr="001908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55753" w14:textId="77777777" w:rsidR="00C33034" w:rsidRDefault="00C33034" w:rsidP="00351FBE">
      <w:pPr>
        <w:spacing w:after="0" w:line="240" w:lineRule="auto"/>
      </w:pPr>
      <w:r>
        <w:separator/>
      </w:r>
    </w:p>
  </w:endnote>
  <w:endnote w:type="continuationSeparator" w:id="0">
    <w:p w14:paraId="46309D00" w14:textId="77777777" w:rsidR="00C33034" w:rsidRDefault="00C33034" w:rsidP="0035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20493" w14:textId="77777777" w:rsidR="00C33034" w:rsidRDefault="00C33034" w:rsidP="00351FBE">
      <w:pPr>
        <w:spacing w:after="0" w:line="240" w:lineRule="auto"/>
      </w:pPr>
      <w:r>
        <w:separator/>
      </w:r>
    </w:p>
  </w:footnote>
  <w:footnote w:type="continuationSeparator" w:id="0">
    <w:p w14:paraId="53257976" w14:textId="77777777" w:rsidR="00C33034" w:rsidRDefault="00C33034" w:rsidP="00351FBE">
      <w:pPr>
        <w:spacing w:after="0" w:line="240" w:lineRule="auto"/>
      </w:pPr>
      <w:r>
        <w:continuationSeparator/>
      </w:r>
    </w:p>
  </w:footnote>
  <w:footnote w:id="1">
    <w:p w14:paraId="1713A45E" w14:textId="7608FC03" w:rsidR="00A57E11" w:rsidRPr="00A57E11" w:rsidRDefault="00A57E11">
      <w:pPr>
        <w:pStyle w:val="FootnoteText"/>
        <w:rPr>
          <w:lang w:val="en-US"/>
        </w:rPr>
      </w:pPr>
      <w:r>
        <w:rPr>
          <w:rStyle w:val="FootnoteReference"/>
        </w:rPr>
        <w:footnoteRef/>
      </w:r>
      <w:r>
        <w:t xml:space="preserve"> </w:t>
      </w:r>
      <w:r w:rsidRPr="00F42FEC">
        <w:rPr>
          <w:rFonts w:ascii="Arial" w:hAnsi="Arial" w:cs="Arial"/>
          <w:sz w:val="24"/>
          <w:szCs w:val="24"/>
        </w:rPr>
        <w:t xml:space="preserve">Model </w:t>
      </w:r>
      <w:proofErr w:type="gramStart"/>
      <w:r w:rsidRPr="00F42FEC">
        <w:rPr>
          <w:rFonts w:ascii="Arial" w:hAnsi="Arial" w:cs="Arial"/>
          <w:sz w:val="24"/>
          <w:szCs w:val="24"/>
        </w:rPr>
        <w:t>Law</w:t>
      </w:r>
      <w:r>
        <w:rPr>
          <w:rFonts w:ascii="Arial" w:hAnsi="Arial" w:cs="Arial"/>
          <w:sz w:val="24"/>
          <w:szCs w:val="24"/>
        </w:rPr>
        <w:t xml:space="preserve"> :</w:t>
      </w:r>
      <w:proofErr w:type="gramEnd"/>
      <w:r w:rsidRPr="00F42FEC">
        <w:rPr>
          <w:rFonts w:ascii="Arial" w:hAnsi="Arial" w:cs="Arial"/>
          <w:sz w:val="24"/>
          <w:szCs w:val="24"/>
        </w:rPr>
        <w:t xml:space="preserve"> Article 11(2) chapter 111 as well as chapter 111</w:t>
      </w:r>
    </w:p>
  </w:footnote>
  <w:footnote w:id="2">
    <w:p w14:paraId="747D8B81" w14:textId="6D889D0B" w:rsidR="00236FBD" w:rsidRPr="00236FBD" w:rsidRDefault="00236FBD">
      <w:pPr>
        <w:pStyle w:val="FootnoteText"/>
        <w:rPr>
          <w:lang w:val="en-US"/>
        </w:rPr>
      </w:pPr>
      <w:r>
        <w:rPr>
          <w:rStyle w:val="FootnoteReference"/>
        </w:rPr>
        <w:footnoteRef/>
      </w:r>
      <w:r>
        <w:t xml:space="preserve"> </w:t>
      </w:r>
      <w:r>
        <w:rPr>
          <w:lang w:val="en-US"/>
        </w:rPr>
        <w:t>LCIA</w:t>
      </w:r>
    </w:p>
  </w:footnote>
  <w:footnote w:id="3">
    <w:p w14:paraId="5646C982" w14:textId="439FBA10" w:rsidR="00C946BF" w:rsidRPr="00C946BF" w:rsidRDefault="00C946BF">
      <w:pPr>
        <w:pStyle w:val="FootnoteText"/>
        <w:rPr>
          <w:lang w:val="en-US"/>
        </w:rPr>
      </w:pPr>
      <w:r>
        <w:rPr>
          <w:rStyle w:val="FootnoteReference"/>
        </w:rPr>
        <w:footnoteRef/>
      </w:r>
      <w:r>
        <w:t xml:space="preserve"> </w:t>
      </w:r>
      <w:bookmarkStart w:id="1" w:name="_Hlk51865577"/>
      <w:r w:rsidRPr="00C946BF">
        <w:rPr>
          <w:bCs/>
          <w:i/>
          <w:iCs/>
        </w:rPr>
        <w:t>Paul</w:t>
      </w:r>
      <w:r w:rsidRPr="00C946BF">
        <w:rPr>
          <w:bCs/>
        </w:rPr>
        <w:t xml:space="preserve"> </w:t>
      </w:r>
      <w:r w:rsidRPr="00C946BF">
        <w:rPr>
          <w:bCs/>
          <w:i/>
          <w:iCs/>
        </w:rPr>
        <w:t>Smith Ltd v H &amp; S International Holdings</w:t>
      </w:r>
      <w:bookmarkEnd w:id="1"/>
    </w:p>
  </w:footnote>
  <w:footnote w:id="4">
    <w:p w14:paraId="0A5D64B7" w14:textId="77777777" w:rsidR="00C946BF" w:rsidRDefault="00C946BF" w:rsidP="00C946BF">
      <w:pPr>
        <w:pStyle w:val="FootnoteText"/>
      </w:pPr>
      <w:r>
        <w:rPr>
          <w:rStyle w:val="FootnoteReference"/>
        </w:rPr>
        <w:footnoteRef/>
      </w:r>
      <w:r>
        <w:t xml:space="preserve"> </w:t>
      </w:r>
      <w:bookmarkStart w:id="3" w:name="_Hlk51865757"/>
      <w:r>
        <w:t>[1975] 1 WLR 297</w:t>
      </w:r>
      <w:bookmarkEnd w:id="3"/>
    </w:p>
  </w:footnote>
  <w:footnote w:id="5">
    <w:p w14:paraId="7CB26031" w14:textId="2DCA20DF" w:rsidR="005E1918" w:rsidRPr="005E1918" w:rsidRDefault="005E1918">
      <w:pPr>
        <w:pStyle w:val="FootnoteText"/>
        <w:rPr>
          <w:lang w:val="en-US"/>
        </w:rPr>
      </w:pPr>
      <w:r>
        <w:rPr>
          <w:rStyle w:val="FootnoteReference"/>
        </w:rPr>
        <w:footnoteRef/>
      </w:r>
      <w:r>
        <w:t xml:space="preserve"> </w:t>
      </w:r>
      <w:r w:rsidRPr="005E1918">
        <w:rPr>
          <w:rFonts w:ascii="Arial" w:hAnsi="Arial" w:cs="Arial"/>
          <w:bCs/>
          <w:sz w:val="24"/>
          <w:szCs w:val="24"/>
        </w:rPr>
        <w:t>Article 17(J)(1) of the International Arbitration Act</w:t>
      </w:r>
    </w:p>
  </w:footnote>
  <w:footnote w:id="6">
    <w:p w14:paraId="11F38782" w14:textId="08DDB473" w:rsidR="00183E67" w:rsidRPr="00183E67" w:rsidRDefault="00183E67">
      <w:pPr>
        <w:pStyle w:val="FootnoteText"/>
        <w:rPr>
          <w:lang w:val="en-US"/>
        </w:rPr>
      </w:pPr>
      <w:r>
        <w:rPr>
          <w:rStyle w:val="FootnoteReference"/>
        </w:rPr>
        <w:footnoteRef/>
      </w:r>
      <w:r>
        <w:t xml:space="preserve"> </w:t>
      </w:r>
      <w:r w:rsidRPr="00183E67">
        <w:rPr>
          <w:b/>
          <w:bCs/>
        </w:rPr>
        <w:t>CASE NO 24286/08</w:t>
      </w:r>
      <w:r w:rsidR="00216468">
        <w:rPr>
          <w:b/>
          <w:bCs/>
        </w:rPr>
        <w:t xml:space="preserve"> </w:t>
      </w:r>
    </w:p>
  </w:footnote>
  <w:footnote w:id="7">
    <w:p w14:paraId="5453D7D7" w14:textId="77777777" w:rsidR="00870A75" w:rsidRDefault="00870A75" w:rsidP="00870A75">
      <w:pPr>
        <w:pStyle w:val="FootnoteText"/>
      </w:pPr>
      <w:r>
        <w:rPr>
          <w:rStyle w:val="FootnoteReference"/>
        </w:rPr>
        <w:footnoteRef/>
      </w:r>
      <w:r>
        <w:t xml:space="preserve"> </w:t>
      </w:r>
      <w:bookmarkStart w:id="6" w:name="_Hlk51866287"/>
      <w:proofErr w:type="spellStart"/>
      <w:r>
        <w:rPr>
          <w:i/>
          <w:iCs/>
        </w:rPr>
        <w:t>Leadtrain</w:t>
      </w:r>
      <w:proofErr w:type="spellEnd"/>
      <w:r>
        <w:rPr>
          <w:i/>
          <w:iCs/>
        </w:rPr>
        <w:t xml:space="preserve"> Assessments (Pty) Ltd and Others v </w:t>
      </w:r>
      <w:proofErr w:type="spellStart"/>
      <w:r>
        <w:rPr>
          <w:i/>
          <w:iCs/>
        </w:rPr>
        <w:t>Leadtrain</w:t>
      </w:r>
      <w:proofErr w:type="spellEnd"/>
      <w:r>
        <w:rPr>
          <w:i/>
          <w:iCs/>
        </w:rPr>
        <w:t xml:space="preserve"> (Pty) Ltd and Others</w:t>
      </w:r>
      <w:r>
        <w:t xml:space="preserve"> 2013 (5) SA 84 (SCA)</w:t>
      </w:r>
      <w:bookmarkEnd w:id="6"/>
    </w:p>
  </w:footnote>
  <w:footnote w:id="8">
    <w:p w14:paraId="34E702FE" w14:textId="010DE6C9" w:rsidR="009D1EA1" w:rsidRPr="009D1EA1" w:rsidRDefault="009D1EA1">
      <w:pPr>
        <w:pStyle w:val="FootnoteText"/>
        <w:rPr>
          <w:lang w:val="en-US"/>
        </w:rPr>
      </w:pPr>
      <w:r>
        <w:rPr>
          <w:rStyle w:val="FootnoteReference"/>
        </w:rPr>
        <w:footnoteRef/>
      </w:r>
      <w:r>
        <w:t xml:space="preserve"> </w:t>
      </w:r>
      <w:proofErr w:type="spellStart"/>
      <w:r w:rsidRPr="009D1EA1">
        <w:rPr>
          <w:bCs/>
          <w:i/>
          <w:iCs/>
        </w:rPr>
        <w:t>Kolber</w:t>
      </w:r>
      <w:proofErr w:type="spellEnd"/>
      <w:r w:rsidRPr="009D1EA1">
        <w:rPr>
          <w:bCs/>
          <w:i/>
          <w:iCs/>
        </w:rPr>
        <w:t xml:space="preserve"> v </w:t>
      </w:r>
      <w:proofErr w:type="spellStart"/>
      <w:r w:rsidRPr="009D1EA1">
        <w:rPr>
          <w:bCs/>
          <w:i/>
          <w:iCs/>
        </w:rPr>
        <w:t>Sourcecom</w:t>
      </w:r>
      <w:proofErr w:type="spellEnd"/>
      <w:r w:rsidRPr="009D1EA1">
        <w:rPr>
          <w:bCs/>
          <w:i/>
          <w:iCs/>
        </w:rPr>
        <w:t xml:space="preserve"> Solutions</w:t>
      </w:r>
    </w:p>
  </w:footnote>
  <w:footnote w:id="9">
    <w:p w14:paraId="3CFFB09C" w14:textId="77777777" w:rsidR="0019088D" w:rsidRDefault="0019088D" w:rsidP="0019088D">
      <w:pPr>
        <w:pStyle w:val="FootnoteText"/>
      </w:pPr>
      <w:r>
        <w:rPr>
          <w:rStyle w:val="FootnoteReference"/>
        </w:rPr>
        <w:footnoteRef/>
      </w:r>
      <w:r>
        <w:t xml:space="preserve"> [1975] 1 WLR 297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C7A40"/>
    <w:multiLevelType w:val="hybridMultilevel"/>
    <w:tmpl w:val="72F0F7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6880855"/>
    <w:multiLevelType w:val="hybridMultilevel"/>
    <w:tmpl w:val="2D9ABFB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342A2A"/>
    <w:multiLevelType w:val="hybridMultilevel"/>
    <w:tmpl w:val="92D8F6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50A1E0B"/>
    <w:multiLevelType w:val="hybridMultilevel"/>
    <w:tmpl w:val="099C0F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B1E3263"/>
    <w:multiLevelType w:val="hybridMultilevel"/>
    <w:tmpl w:val="F0268ED6"/>
    <w:lvl w:ilvl="0" w:tplc="04B4E5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B975641"/>
    <w:multiLevelType w:val="hybridMultilevel"/>
    <w:tmpl w:val="8578D9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2491E58"/>
    <w:multiLevelType w:val="hybridMultilevel"/>
    <w:tmpl w:val="29AC36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17A775F"/>
    <w:multiLevelType w:val="hybridMultilevel"/>
    <w:tmpl w:val="7B2AA0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54D52B67"/>
    <w:multiLevelType w:val="hybridMultilevel"/>
    <w:tmpl w:val="C6ECE9AA"/>
    <w:lvl w:ilvl="0" w:tplc="DAA2FD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6566B2A"/>
    <w:multiLevelType w:val="hybridMultilevel"/>
    <w:tmpl w:val="D6F06C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5B0A650B"/>
    <w:multiLevelType w:val="hybridMultilevel"/>
    <w:tmpl w:val="6D24552C"/>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1" w15:restartNumberingAfterBreak="0">
    <w:nsid w:val="5B2260F0"/>
    <w:multiLevelType w:val="hybridMultilevel"/>
    <w:tmpl w:val="2E20E5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C87602B"/>
    <w:multiLevelType w:val="hybridMultilevel"/>
    <w:tmpl w:val="38706CB4"/>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3" w15:restartNumberingAfterBreak="0">
    <w:nsid w:val="5FE40AA5"/>
    <w:multiLevelType w:val="hybridMultilevel"/>
    <w:tmpl w:val="63A63750"/>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14" w15:restartNumberingAfterBreak="0">
    <w:nsid w:val="64E034C5"/>
    <w:multiLevelType w:val="hybridMultilevel"/>
    <w:tmpl w:val="6A26D11E"/>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5" w15:restartNumberingAfterBreak="0">
    <w:nsid w:val="64EF02C5"/>
    <w:multiLevelType w:val="hybridMultilevel"/>
    <w:tmpl w:val="EC0E8E5A"/>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6" w15:restartNumberingAfterBreak="0">
    <w:nsid w:val="74BE76B1"/>
    <w:multiLevelType w:val="multilevel"/>
    <w:tmpl w:val="49A4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3"/>
  </w:num>
  <w:num w:numId="4">
    <w:abstractNumId w:val="11"/>
  </w:num>
  <w:num w:numId="5">
    <w:abstractNumId w:val="13"/>
  </w:num>
  <w:num w:numId="6">
    <w:abstractNumId w:val="0"/>
  </w:num>
  <w:num w:numId="7">
    <w:abstractNumId w:val="14"/>
  </w:num>
  <w:num w:numId="8">
    <w:abstractNumId w:val="16"/>
  </w:num>
  <w:num w:numId="9">
    <w:abstractNumId w:val="15"/>
  </w:num>
  <w:num w:numId="10">
    <w:abstractNumId w:val="7"/>
  </w:num>
  <w:num w:numId="11">
    <w:abstractNumId w:val="10"/>
  </w:num>
  <w:num w:numId="12">
    <w:abstractNumId w:val="12"/>
  </w:num>
  <w:num w:numId="13">
    <w:abstractNumId w:val="9"/>
    <w:lvlOverride w:ilvl="0"/>
    <w:lvlOverride w:ilvl="1"/>
    <w:lvlOverride w:ilvl="2"/>
    <w:lvlOverride w:ilvl="3"/>
    <w:lvlOverride w:ilvl="4"/>
    <w:lvlOverride w:ilvl="5"/>
    <w:lvlOverride w:ilvl="6"/>
    <w:lvlOverride w:ilvl="7"/>
    <w:lvlOverride w:ilvl="8"/>
  </w:num>
  <w:num w:numId="14">
    <w:abstractNumId w:val="5"/>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A66"/>
    <w:rsid w:val="0001440B"/>
    <w:rsid w:val="00022FB5"/>
    <w:rsid w:val="00040697"/>
    <w:rsid w:val="00070E81"/>
    <w:rsid w:val="000960B4"/>
    <w:rsid w:val="000A7C44"/>
    <w:rsid w:val="000B128C"/>
    <w:rsid w:val="000B52ED"/>
    <w:rsid w:val="000C5F2A"/>
    <w:rsid w:val="000F50B3"/>
    <w:rsid w:val="001010F8"/>
    <w:rsid w:val="00123447"/>
    <w:rsid w:val="001753DF"/>
    <w:rsid w:val="00183E67"/>
    <w:rsid w:val="0019088D"/>
    <w:rsid w:val="00193ABB"/>
    <w:rsid w:val="001A6211"/>
    <w:rsid w:val="001E0EDF"/>
    <w:rsid w:val="00213483"/>
    <w:rsid w:val="00216468"/>
    <w:rsid w:val="00236FBD"/>
    <w:rsid w:val="002939EE"/>
    <w:rsid w:val="002C51D3"/>
    <w:rsid w:val="002C6154"/>
    <w:rsid w:val="002D5972"/>
    <w:rsid w:val="002D60D6"/>
    <w:rsid w:val="002D6A11"/>
    <w:rsid w:val="002F7310"/>
    <w:rsid w:val="0032355F"/>
    <w:rsid w:val="00327E37"/>
    <w:rsid w:val="0034279F"/>
    <w:rsid w:val="003500FB"/>
    <w:rsid w:val="00351FBE"/>
    <w:rsid w:val="00373994"/>
    <w:rsid w:val="00376238"/>
    <w:rsid w:val="003D2299"/>
    <w:rsid w:val="003F3559"/>
    <w:rsid w:val="00405487"/>
    <w:rsid w:val="004240EA"/>
    <w:rsid w:val="004356B6"/>
    <w:rsid w:val="00456A49"/>
    <w:rsid w:val="004664CB"/>
    <w:rsid w:val="00471C49"/>
    <w:rsid w:val="004816D4"/>
    <w:rsid w:val="004A043C"/>
    <w:rsid w:val="004B0FC1"/>
    <w:rsid w:val="004C0572"/>
    <w:rsid w:val="004D3114"/>
    <w:rsid w:val="00564722"/>
    <w:rsid w:val="00597E56"/>
    <w:rsid w:val="005B1AEE"/>
    <w:rsid w:val="005D230C"/>
    <w:rsid w:val="005E1918"/>
    <w:rsid w:val="00635815"/>
    <w:rsid w:val="0064491D"/>
    <w:rsid w:val="006A1065"/>
    <w:rsid w:val="006A6671"/>
    <w:rsid w:val="006B3604"/>
    <w:rsid w:val="00711E24"/>
    <w:rsid w:val="00735B5F"/>
    <w:rsid w:val="007947B5"/>
    <w:rsid w:val="007956DD"/>
    <w:rsid w:val="007C727B"/>
    <w:rsid w:val="007E6EF3"/>
    <w:rsid w:val="007F77D1"/>
    <w:rsid w:val="008312FE"/>
    <w:rsid w:val="00870A75"/>
    <w:rsid w:val="008C2BDA"/>
    <w:rsid w:val="009608C6"/>
    <w:rsid w:val="009D1EA1"/>
    <w:rsid w:val="009F05C0"/>
    <w:rsid w:val="009F54CE"/>
    <w:rsid w:val="00A57E11"/>
    <w:rsid w:val="00A63A93"/>
    <w:rsid w:val="00AB2C52"/>
    <w:rsid w:val="00AC5DF5"/>
    <w:rsid w:val="00AE7D64"/>
    <w:rsid w:val="00B06050"/>
    <w:rsid w:val="00B07FAA"/>
    <w:rsid w:val="00B45E03"/>
    <w:rsid w:val="00B63124"/>
    <w:rsid w:val="00B84877"/>
    <w:rsid w:val="00BC629C"/>
    <w:rsid w:val="00BC6E26"/>
    <w:rsid w:val="00BE60C3"/>
    <w:rsid w:val="00BF21A2"/>
    <w:rsid w:val="00BF5600"/>
    <w:rsid w:val="00C12AF5"/>
    <w:rsid w:val="00C33034"/>
    <w:rsid w:val="00C946BF"/>
    <w:rsid w:val="00C965FF"/>
    <w:rsid w:val="00CF5589"/>
    <w:rsid w:val="00D157A2"/>
    <w:rsid w:val="00D372DC"/>
    <w:rsid w:val="00D40238"/>
    <w:rsid w:val="00D76CE2"/>
    <w:rsid w:val="00DA4EFF"/>
    <w:rsid w:val="00DE447B"/>
    <w:rsid w:val="00E5187E"/>
    <w:rsid w:val="00E713D1"/>
    <w:rsid w:val="00E816B3"/>
    <w:rsid w:val="00E92A66"/>
    <w:rsid w:val="00EC0003"/>
    <w:rsid w:val="00F159C0"/>
    <w:rsid w:val="00F270CA"/>
    <w:rsid w:val="00F30717"/>
    <w:rsid w:val="00F42FEC"/>
    <w:rsid w:val="00F76224"/>
    <w:rsid w:val="00FB6E8F"/>
    <w:rsid w:val="00FB7E3E"/>
    <w:rsid w:val="00FE2D6A"/>
    <w:rsid w:val="00FF0C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271E"/>
  <w15:chartTrackingRefBased/>
  <w15:docId w15:val="{3795D7FA-6190-4CF9-95C9-F0CDBBF4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29C"/>
    <w:pPr>
      <w:ind w:left="720"/>
      <w:contextualSpacing/>
    </w:pPr>
  </w:style>
  <w:style w:type="paragraph" w:styleId="Header">
    <w:name w:val="header"/>
    <w:basedOn w:val="Normal"/>
    <w:link w:val="HeaderChar"/>
    <w:uiPriority w:val="99"/>
    <w:unhideWhenUsed/>
    <w:rsid w:val="00351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FBE"/>
  </w:style>
  <w:style w:type="paragraph" w:styleId="Footer">
    <w:name w:val="footer"/>
    <w:basedOn w:val="Normal"/>
    <w:link w:val="FooterChar"/>
    <w:uiPriority w:val="99"/>
    <w:unhideWhenUsed/>
    <w:rsid w:val="00351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FBE"/>
  </w:style>
  <w:style w:type="paragraph" w:styleId="FootnoteText">
    <w:name w:val="footnote text"/>
    <w:basedOn w:val="Normal"/>
    <w:link w:val="FootnoteTextChar"/>
    <w:uiPriority w:val="99"/>
    <w:semiHidden/>
    <w:unhideWhenUsed/>
    <w:rsid w:val="00A57E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E11"/>
    <w:rPr>
      <w:sz w:val="20"/>
      <w:szCs w:val="20"/>
    </w:rPr>
  </w:style>
  <w:style w:type="character" w:styleId="FootnoteReference">
    <w:name w:val="footnote reference"/>
    <w:basedOn w:val="DefaultParagraphFont"/>
    <w:uiPriority w:val="99"/>
    <w:semiHidden/>
    <w:unhideWhenUsed/>
    <w:rsid w:val="00A57E11"/>
    <w:rPr>
      <w:vertAlign w:val="superscript"/>
    </w:rPr>
  </w:style>
  <w:style w:type="paragraph" w:styleId="NormalWeb">
    <w:name w:val="Normal (Web)"/>
    <w:basedOn w:val="Normal"/>
    <w:uiPriority w:val="99"/>
    <w:semiHidden/>
    <w:unhideWhenUsed/>
    <w:rsid w:val="00236F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88061">
      <w:bodyDiv w:val="1"/>
      <w:marLeft w:val="0"/>
      <w:marRight w:val="0"/>
      <w:marTop w:val="0"/>
      <w:marBottom w:val="0"/>
      <w:divBdr>
        <w:top w:val="none" w:sz="0" w:space="0" w:color="auto"/>
        <w:left w:val="none" w:sz="0" w:space="0" w:color="auto"/>
        <w:bottom w:val="none" w:sz="0" w:space="0" w:color="auto"/>
        <w:right w:val="none" w:sz="0" w:space="0" w:color="auto"/>
      </w:divBdr>
    </w:div>
    <w:div w:id="497156476">
      <w:bodyDiv w:val="1"/>
      <w:marLeft w:val="0"/>
      <w:marRight w:val="0"/>
      <w:marTop w:val="0"/>
      <w:marBottom w:val="0"/>
      <w:divBdr>
        <w:top w:val="none" w:sz="0" w:space="0" w:color="auto"/>
        <w:left w:val="none" w:sz="0" w:space="0" w:color="auto"/>
        <w:bottom w:val="none" w:sz="0" w:space="0" w:color="auto"/>
        <w:right w:val="none" w:sz="0" w:space="0" w:color="auto"/>
      </w:divBdr>
    </w:div>
    <w:div w:id="543753996">
      <w:bodyDiv w:val="1"/>
      <w:marLeft w:val="0"/>
      <w:marRight w:val="0"/>
      <w:marTop w:val="0"/>
      <w:marBottom w:val="0"/>
      <w:divBdr>
        <w:top w:val="none" w:sz="0" w:space="0" w:color="auto"/>
        <w:left w:val="none" w:sz="0" w:space="0" w:color="auto"/>
        <w:bottom w:val="none" w:sz="0" w:space="0" w:color="auto"/>
        <w:right w:val="none" w:sz="0" w:space="0" w:color="auto"/>
      </w:divBdr>
    </w:div>
    <w:div w:id="818497150">
      <w:bodyDiv w:val="1"/>
      <w:marLeft w:val="0"/>
      <w:marRight w:val="0"/>
      <w:marTop w:val="0"/>
      <w:marBottom w:val="0"/>
      <w:divBdr>
        <w:top w:val="none" w:sz="0" w:space="0" w:color="auto"/>
        <w:left w:val="none" w:sz="0" w:space="0" w:color="auto"/>
        <w:bottom w:val="none" w:sz="0" w:space="0" w:color="auto"/>
        <w:right w:val="none" w:sz="0" w:space="0" w:color="auto"/>
      </w:divBdr>
    </w:div>
    <w:div w:id="895822691">
      <w:bodyDiv w:val="1"/>
      <w:marLeft w:val="0"/>
      <w:marRight w:val="0"/>
      <w:marTop w:val="0"/>
      <w:marBottom w:val="0"/>
      <w:divBdr>
        <w:top w:val="none" w:sz="0" w:space="0" w:color="auto"/>
        <w:left w:val="none" w:sz="0" w:space="0" w:color="auto"/>
        <w:bottom w:val="none" w:sz="0" w:space="0" w:color="auto"/>
        <w:right w:val="none" w:sz="0" w:space="0" w:color="auto"/>
      </w:divBdr>
    </w:div>
    <w:div w:id="1347709654">
      <w:bodyDiv w:val="1"/>
      <w:marLeft w:val="0"/>
      <w:marRight w:val="0"/>
      <w:marTop w:val="0"/>
      <w:marBottom w:val="0"/>
      <w:divBdr>
        <w:top w:val="none" w:sz="0" w:space="0" w:color="auto"/>
        <w:left w:val="none" w:sz="0" w:space="0" w:color="auto"/>
        <w:bottom w:val="none" w:sz="0" w:space="0" w:color="auto"/>
        <w:right w:val="none" w:sz="0" w:space="0" w:color="auto"/>
      </w:divBdr>
    </w:div>
    <w:div w:id="2010979323">
      <w:bodyDiv w:val="1"/>
      <w:marLeft w:val="0"/>
      <w:marRight w:val="0"/>
      <w:marTop w:val="0"/>
      <w:marBottom w:val="0"/>
      <w:divBdr>
        <w:top w:val="none" w:sz="0" w:space="0" w:color="auto"/>
        <w:left w:val="none" w:sz="0" w:space="0" w:color="auto"/>
        <w:bottom w:val="none" w:sz="0" w:space="0" w:color="auto"/>
        <w:right w:val="none" w:sz="0" w:space="0" w:color="auto"/>
      </w:divBdr>
    </w:div>
    <w:div w:id="20784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F0105-435D-4D05-B8EB-AC102A0D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Siyila Attorneys</dc:creator>
  <cp:keywords/>
  <dc:description/>
  <cp:lastModifiedBy>admire@tbee.co.za</cp:lastModifiedBy>
  <cp:revision>2</cp:revision>
  <dcterms:created xsi:type="dcterms:W3CDTF">2020-09-25T21:51:00Z</dcterms:created>
  <dcterms:modified xsi:type="dcterms:W3CDTF">2020-09-25T21:51:00Z</dcterms:modified>
</cp:coreProperties>
</file>